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3FB" w:rsidRDefault="002F17C6" w:rsidP="002F17C6">
      <w:pPr>
        <w:pStyle w:val="Heading1"/>
      </w:pPr>
      <w:r>
        <w:t xml:space="preserve">A least cost path </w:t>
      </w:r>
      <w:r w:rsidR="00132AA2">
        <w:t xml:space="preserve">(LCP) </w:t>
      </w:r>
      <w:r>
        <w:t>toolbox for o</w:t>
      </w:r>
      <w:r w:rsidRPr="002F17C6">
        <w:t>ptimal routing of</w:t>
      </w:r>
      <w:r>
        <w:t xml:space="preserve"> </w:t>
      </w:r>
      <w:r w:rsidRPr="002F17C6">
        <w:t>high voltage</w:t>
      </w:r>
      <w:r w:rsidR="0003059C">
        <w:t xml:space="preserve"> </w:t>
      </w:r>
      <w:r w:rsidRPr="002F17C6">
        <w:t>power lines for a sustainable future</w:t>
      </w:r>
      <w:r>
        <w:t>.</w:t>
      </w:r>
    </w:p>
    <w:p w:rsidR="007E285A" w:rsidRDefault="007E285A" w:rsidP="007E285A">
      <w:pPr>
        <w:pStyle w:val="NoSpacing"/>
      </w:pPr>
    </w:p>
    <w:p w:rsidR="007E285A" w:rsidRDefault="007E285A" w:rsidP="007E285A">
      <w:r>
        <w:t>Frank Hanssen, Norwegian Institute for Nature Research (NINA)</w:t>
      </w:r>
    </w:p>
    <w:p w:rsidR="007E285A" w:rsidRDefault="007E285A" w:rsidP="007E285A">
      <w:r>
        <w:t>Jørn Thomassen, Norwegian Institute for Nature Research (NINA)</w:t>
      </w:r>
    </w:p>
    <w:p w:rsidR="007E285A" w:rsidRDefault="007E285A" w:rsidP="007E285A">
      <w:r>
        <w:t>Roel May, Norwegian Institute for Nature Research (NINA)</w:t>
      </w:r>
    </w:p>
    <w:p w:rsidR="002F17C6" w:rsidRDefault="007E285A" w:rsidP="007E285A">
      <w:pPr>
        <w:pBdr>
          <w:bottom w:val="single" w:sz="6" w:space="1" w:color="auto"/>
        </w:pBdr>
      </w:pPr>
      <w:r>
        <w:t>Kjetil Bevanger, Norwegian Institute for Nature Research (NINA)</w:t>
      </w:r>
    </w:p>
    <w:p w:rsidR="0003059C" w:rsidRDefault="0003059C" w:rsidP="0003059C">
      <w:pPr>
        <w:pStyle w:val="Heading2"/>
      </w:pPr>
      <w:r>
        <w:t>Abstract</w:t>
      </w:r>
    </w:p>
    <w:p w:rsidR="00F12EA3" w:rsidRDefault="0003059C" w:rsidP="00D1403A">
      <w:pPr>
        <w:jc w:val="both"/>
      </w:pPr>
      <w:r w:rsidRPr="0003059C">
        <w:t xml:space="preserve">The Norwegian Institute </w:t>
      </w:r>
      <w:r w:rsidR="00F84689">
        <w:t>for</w:t>
      </w:r>
      <w:r w:rsidR="00F84689" w:rsidRPr="0003059C">
        <w:t xml:space="preserve"> </w:t>
      </w:r>
      <w:r w:rsidRPr="0003059C">
        <w:t>Nature Research (</w:t>
      </w:r>
      <w:r>
        <w:t>NINA</w:t>
      </w:r>
      <w:r w:rsidRPr="0003059C">
        <w:t xml:space="preserve">) is </w:t>
      </w:r>
      <w:r w:rsidR="00D741D3">
        <w:t>in charge of</w:t>
      </w:r>
      <w:r w:rsidRPr="0003059C">
        <w:t xml:space="preserve"> a project</w:t>
      </w:r>
      <w:r w:rsidR="00B34D39">
        <w:t xml:space="preserve"> </w:t>
      </w:r>
      <w:r w:rsidRPr="0003059C">
        <w:t>(January 2011 to December 2013) where the main aim is to develop a Least Cost Path (LCP) toolbox for environmental friendly routing of high voltage power lines</w:t>
      </w:r>
      <w:r w:rsidR="00D741D3">
        <w:t xml:space="preserve">. The toolbox is </w:t>
      </w:r>
      <w:r w:rsidRPr="0003059C">
        <w:t xml:space="preserve">based on ecological, </w:t>
      </w:r>
      <w:r w:rsidR="007D3B77" w:rsidRPr="0003059C">
        <w:t>economic</w:t>
      </w:r>
      <w:r w:rsidRPr="0003059C">
        <w:t>, social and technological perspectives</w:t>
      </w:r>
      <w:r w:rsidR="00D741D3">
        <w:t xml:space="preserve"> and adapted to the rough</w:t>
      </w:r>
      <w:r w:rsidR="00D741D3" w:rsidRPr="0003059C">
        <w:t xml:space="preserve"> </w:t>
      </w:r>
      <w:r w:rsidR="00D741D3" w:rsidRPr="00D741D3">
        <w:t>topographic</w:t>
      </w:r>
      <w:r w:rsidR="00D741D3">
        <w:t>al conditions in Norway</w:t>
      </w:r>
      <w:r w:rsidRPr="0003059C">
        <w:t xml:space="preserve">. </w:t>
      </w:r>
      <w:r w:rsidR="00E57275" w:rsidRPr="00E57275">
        <w:t xml:space="preserve">This </w:t>
      </w:r>
      <w:r w:rsidR="00F12EA3">
        <w:t>project</w:t>
      </w:r>
      <w:r w:rsidR="00E57275" w:rsidRPr="00E57275">
        <w:t xml:space="preserve"> is</w:t>
      </w:r>
      <w:r w:rsidR="007D3B77">
        <w:t xml:space="preserve"> a</w:t>
      </w:r>
      <w:r w:rsidR="00E57275" w:rsidRPr="00E57275">
        <w:t xml:space="preserve"> part of </w:t>
      </w:r>
      <w:r w:rsidR="00F12EA3">
        <w:t>a larger scaled</w:t>
      </w:r>
      <w:r w:rsidR="00E57275" w:rsidRPr="00E57275">
        <w:t xml:space="preserve"> research project on optimal design and routing of power lines (OPTIPOL) organized by the </w:t>
      </w:r>
      <w:r w:rsidR="00E57275">
        <w:t xml:space="preserve">Norwegian </w:t>
      </w:r>
      <w:r w:rsidR="00E57275" w:rsidRPr="00E57275">
        <w:t>Centre for Environmental Design of Renewable Energy (CEDREN).</w:t>
      </w:r>
      <w:r w:rsidR="00E57275">
        <w:t xml:space="preserve"> </w:t>
      </w:r>
    </w:p>
    <w:p w:rsidR="00F12EA3" w:rsidRDefault="0003059C" w:rsidP="00D1403A">
      <w:pPr>
        <w:jc w:val="both"/>
      </w:pPr>
      <w:r w:rsidRPr="0003059C">
        <w:t xml:space="preserve">Thematic </w:t>
      </w:r>
      <w:r w:rsidR="00E57275">
        <w:t>EIA-</w:t>
      </w:r>
      <w:r w:rsidRPr="0003059C">
        <w:t xml:space="preserve">content and criteria </w:t>
      </w:r>
      <w:r w:rsidR="00F12EA3">
        <w:t xml:space="preserve">will be </w:t>
      </w:r>
      <w:r w:rsidRPr="0003059C">
        <w:t xml:space="preserve">defined by </w:t>
      </w:r>
      <w:r w:rsidR="00573BAA">
        <w:t>participat</w:t>
      </w:r>
      <w:r w:rsidR="00DF03E0">
        <w:t>ory</w:t>
      </w:r>
      <w:r w:rsidR="00573BAA">
        <w:t xml:space="preserve"> </w:t>
      </w:r>
      <w:r w:rsidRPr="0003059C">
        <w:t>stakeholder</w:t>
      </w:r>
      <w:r w:rsidR="00DF03E0">
        <w:t xml:space="preserve"> </w:t>
      </w:r>
      <w:r w:rsidR="0032664A">
        <w:t>processes</w:t>
      </w:r>
      <w:r w:rsidRPr="0003059C">
        <w:t xml:space="preserve">, best practices </w:t>
      </w:r>
      <w:r w:rsidR="00E57275">
        <w:t>and legal requirements</w:t>
      </w:r>
      <w:r w:rsidR="00F12EA3">
        <w:t xml:space="preserve"> and thereafter implemented in the LCP-toolbox</w:t>
      </w:r>
      <w:r w:rsidR="00E57275">
        <w:t xml:space="preserve">. </w:t>
      </w:r>
      <w:r w:rsidR="00E57275" w:rsidRPr="00E57275">
        <w:t xml:space="preserve">To measure and compare the many different EIA-aspects in LCP a Fuzzy logic approach </w:t>
      </w:r>
      <w:r w:rsidR="00E57275">
        <w:t xml:space="preserve">is used </w:t>
      </w:r>
      <w:r w:rsidR="00E57275" w:rsidRPr="00E57275">
        <w:t xml:space="preserve">to </w:t>
      </w:r>
      <w:r w:rsidR="00573BAA">
        <w:t xml:space="preserve">calibrate and </w:t>
      </w:r>
      <w:r w:rsidR="00E57275" w:rsidRPr="00E57275">
        <w:t>standardize the criteria based on stakeholders</w:t>
      </w:r>
      <w:r w:rsidR="004E4236">
        <w:t>’</w:t>
      </w:r>
      <w:r w:rsidR="00E57275" w:rsidRPr="00E57275">
        <w:t xml:space="preserve"> degree of accept </w:t>
      </w:r>
      <w:r w:rsidR="00573BAA">
        <w:t xml:space="preserve">measured </w:t>
      </w:r>
      <w:r w:rsidR="00E57275" w:rsidRPr="00E57275">
        <w:t>on a continuous scale from 0 to 1.</w:t>
      </w:r>
      <w:r w:rsidR="00E57275">
        <w:t xml:space="preserve"> </w:t>
      </w:r>
    </w:p>
    <w:p w:rsidR="00F12EA3" w:rsidRDefault="00E57275" w:rsidP="00D1403A">
      <w:pPr>
        <w:jc w:val="both"/>
      </w:pPr>
      <w:r>
        <w:t>Con</w:t>
      </w:r>
      <w:r w:rsidR="0003059C" w:rsidRPr="0003059C">
        <w:t xml:space="preserve">sensus </w:t>
      </w:r>
      <w:r w:rsidR="004E4236">
        <w:t>on</w:t>
      </w:r>
      <w:r w:rsidR="0003059C" w:rsidRPr="0003059C">
        <w:t xml:space="preserve"> </w:t>
      </w:r>
      <w:r>
        <w:t>criteria definitions</w:t>
      </w:r>
      <w:r w:rsidR="00F12EA3">
        <w:t>, criteria values</w:t>
      </w:r>
      <w:r>
        <w:t xml:space="preserve"> and the </w:t>
      </w:r>
      <w:r w:rsidR="0003059C" w:rsidRPr="0003059C">
        <w:t xml:space="preserve">relative importance of the thematic content will be achieved through the implementation of standardized </w:t>
      </w:r>
      <w:r w:rsidR="00D741D3">
        <w:t xml:space="preserve">participatory </w:t>
      </w:r>
      <w:r w:rsidR="0003059C" w:rsidRPr="0003059C">
        <w:t xml:space="preserve">dialogue seminars. </w:t>
      </w:r>
    </w:p>
    <w:p w:rsidR="0003059C" w:rsidRDefault="0003059C" w:rsidP="00D1403A">
      <w:pPr>
        <w:jc w:val="both"/>
      </w:pPr>
      <w:r w:rsidRPr="0003059C">
        <w:t>The toolbox is me</w:t>
      </w:r>
      <w:r w:rsidR="004E4236">
        <w:t>a</w:t>
      </w:r>
      <w:r w:rsidRPr="0003059C">
        <w:t>nt to be a usefull planning tool in an early phase of power line routing project</w:t>
      </w:r>
      <w:r w:rsidR="00D741D3">
        <w:t>s</w:t>
      </w:r>
      <w:r w:rsidRPr="0003059C">
        <w:t xml:space="preserve"> in order to identify </w:t>
      </w:r>
      <w:r w:rsidR="004E4236">
        <w:t>search</w:t>
      </w:r>
      <w:r w:rsidR="004E4236" w:rsidRPr="0003059C">
        <w:t xml:space="preserve"> </w:t>
      </w:r>
      <w:r w:rsidRPr="0003059C">
        <w:t>corridors for EIA</w:t>
      </w:r>
      <w:r w:rsidR="00573BAA">
        <w:t>-scoping,</w:t>
      </w:r>
      <w:r w:rsidRPr="0003059C">
        <w:t xml:space="preserve"> </w:t>
      </w:r>
      <w:r w:rsidR="00D741D3">
        <w:t xml:space="preserve">suggest </w:t>
      </w:r>
      <w:r w:rsidR="000E1552">
        <w:t>optimal routing</w:t>
      </w:r>
      <w:r w:rsidR="008960B7">
        <w:t xml:space="preserve"> alternatives</w:t>
      </w:r>
      <w:r w:rsidR="000E1552">
        <w:t xml:space="preserve">, </w:t>
      </w:r>
      <w:r w:rsidRPr="0003059C">
        <w:t xml:space="preserve">minimize potential stakeholder conflicts and to make the decision processes more transparent to the </w:t>
      </w:r>
      <w:r w:rsidR="008960B7">
        <w:t xml:space="preserve">authorities and the </w:t>
      </w:r>
      <w:r w:rsidRPr="0003059C">
        <w:t>public.</w:t>
      </w:r>
      <w:r w:rsidR="00E57275">
        <w:t xml:space="preserve"> </w:t>
      </w:r>
    </w:p>
    <w:p w:rsidR="00D1403A" w:rsidRDefault="007B0D26" w:rsidP="00D1403A">
      <w:pPr>
        <w:pStyle w:val="Heading2"/>
      </w:pPr>
      <w:r>
        <w:t>Introduction</w:t>
      </w:r>
    </w:p>
    <w:p w:rsidR="006D7ABA" w:rsidRDefault="00D1403A" w:rsidP="00EE2688">
      <w:pPr>
        <w:jc w:val="both"/>
      </w:pPr>
      <w:r>
        <w:t xml:space="preserve">Norway is facing a </w:t>
      </w:r>
      <w:r w:rsidR="004E4236">
        <w:t xml:space="preserve">significant </w:t>
      </w:r>
      <w:r>
        <w:t xml:space="preserve">expansion in the central power transmission line </w:t>
      </w:r>
      <w:r w:rsidR="004E4236">
        <w:t>grid in the near future</w:t>
      </w:r>
      <w:r>
        <w:t xml:space="preserve">. </w:t>
      </w:r>
      <w:r w:rsidR="00F81F44">
        <w:t xml:space="preserve">Part of the </w:t>
      </w:r>
      <w:r w:rsidR="008960B7">
        <w:t xml:space="preserve">existing </w:t>
      </w:r>
      <w:r w:rsidR="007B0D26">
        <w:t xml:space="preserve">Norwegian </w:t>
      </w:r>
      <w:r w:rsidR="00F81F44" w:rsidRPr="00F81F44">
        <w:t xml:space="preserve">transmission line </w:t>
      </w:r>
      <w:r w:rsidR="004E4236">
        <w:t xml:space="preserve">grid </w:t>
      </w:r>
      <w:r w:rsidR="00F81F44">
        <w:t xml:space="preserve">is old and </w:t>
      </w:r>
      <w:r w:rsidR="004E4236">
        <w:t>requires upgrading and upscaling</w:t>
      </w:r>
      <w:r w:rsidR="00CE37D1">
        <w:t>.</w:t>
      </w:r>
      <w:r w:rsidR="00F81F44">
        <w:t xml:space="preserve"> </w:t>
      </w:r>
      <w:r w:rsidR="00CE37D1">
        <w:t>T</w:t>
      </w:r>
      <w:r w:rsidR="00F81F44">
        <w:t xml:space="preserve">he increased growth in hydropower and wind-power production also demands </w:t>
      </w:r>
      <w:r w:rsidR="004E4236">
        <w:t>an increase in the capacity</w:t>
      </w:r>
      <w:r w:rsidR="007B0D26">
        <w:t xml:space="preserve"> of the</w:t>
      </w:r>
      <w:r w:rsidR="00F81F44">
        <w:t xml:space="preserve"> </w:t>
      </w:r>
      <w:r w:rsidR="007B0D26">
        <w:t xml:space="preserve">national </w:t>
      </w:r>
      <w:r w:rsidR="00F81F44" w:rsidRPr="00F81F44">
        <w:t xml:space="preserve">power transmission line </w:t>
      </w:r>
      <w:r w:rsidR="004E4236">
        <w:t>grid</w:t>
      </w:r>
      <w:r w:rsidR="00F81F44">
        <w:t xml:space="preserve">. </w:t>
      </w:r>
      <w:r>
        <w:t xml:space="preserve">The </w:t>
      </w:r>
      <w:r w:rsidRPr="00D1403A">
        <w:t>Norwegian Water Resources and Energy Directorate</w:t>
      </w:r>
      <w:r>
        <w:t xml:space="preserve"> have due to May 2012 received license applications for </w:t>
      </w:r>
      <w:r w:rsidR="00CE37D1">
        <w:t xml:space="preserve">new </w:t>
      </w:r>
      <w:r w:rsidR="00132AA2">
        <w:t xml:space="preserve">construction and </w:t>
      </w:r>
      <w:r w:rsidR="001B7656">
        <w:t>upgrad</w:t>
      </w:r>
      <w:r w:rsidR="00CE37D1">
        <w:t>e</w:t>
      </w:r>
      <w:r w:rsidR="001B7656">
        <w:t xml:space="preserve"> </w:t>
      </w:r>
      <w:r w:rsidR="00132AA2">
        <w:t>projects</w:t>
      </w:r>
      <w:r w:rsidR="00CE37D1">
        <w:t xml:space="preserve"> of</w:t>
      </w:r>
      <w:r w:rsidR="00132AA2">
        <w:t xml:space="preserve"> </w:t>
      </w:r>
      <w:r w:rsidR="001B7656">
        <w:t xml:space="preserve">800 km </w:t>
      </w:r>
      <w:r w:rsidR="00CE37D1">
        <w:t>(</w:t>
      </w:r>
      <w:r w:rsidR="001B7656">
        <w:t>420 kV</w:t>
      </w:r>
      <w:r w:rsidR="00CE37D1">
        <w:t>)</w:t>
      </w:r>
      <w:r w:rsidR="001B7656">
        <w:t xml:space="preserve"> </w:t>
      </w:r>
      <w:r w:rsidR="00132AA2">
        <w:t xml:space="preserve">and 550 km </w:t>
      </w:r>
      <w:r w:rsidR="00CE37D1">
        <w:t>(</w:t>
      </w:r>
      <w:r w:rsidR="00132AA2">
        <w:t>66</w:t>
      </w:r>
      <w:r w:rsidR="001618C0">
        <w:t>-132</w:t>
      </w:r>
      <w:r w:rsidR="00132AA2">
        <w:t xml:space="preserve"> kV</w:t>
      </w:r>
      <w:r w:rsidR="00CE37D1">
        <w:t>)</w:t>
      </w:r>
      <w:r w:rsidR="00132AA2">
        <w:t>. A great variety of stakeholders in a</w:t>
      </w:r>
      <w:r w:rsidR="001B7656">
        <w:t>bout 100 municipalities</w:t>
      </w:r>
      <w:r w:rsidR="00132AA2">
        <w:t xml:space="preserve"> will be affected by these projects. </w:t>
      </w:r>
    </w:p>
    <w:p w:rsidR="000E1552" w:rsidRDefault="00132AA2" w:rsidP="00EE2688">
      <w:pPr>
        <w:jc w:val="both"/>
      </w:pPr>
      <w:r>
        <w:lastRenderedPageBreak/>
        <w:t xml:space="preserve">The Norwegian Government </w:t>
      </w:r>
      <w:r w:rsidR="00F81F44">
        <w:t xml:space="preserve">heavily supports the need for an enlargement of the </w:t>
      </w:r>
      <w:r w:rsidR="00F81F44" w:rsidRPr="00F81F44">
        <w:t xml:space="preserve">central power transmission line </w:t>
      </w:r>
      <w:r w:rsidR="004E4236">
        <w:t>grid</w:t>
      </w:r>
      <w:r w:rsidR="000E1552">
        <w:t>. T</w:t>
      </w:r>
      <w:r w:rsidR="00F81F44">
        <w:t>o ensure</w:t>
      </w:r>
      <w:r w:rsidR="00A31E76">
        <w:t xml:space="preserve"> </w:t>
      </w:r>
      <w:r w:rsidR="00F81F44">
        <w:t xml:space="preserve">optimal power line routing </w:t>
      </w:r>
      <w:r w:rsidR="00615D49">
        <w:t>for</w:t>
      </w:r>
      <w:r w:rsidR="00F81F44">
        <w:t xml:space="preserve"> the future</w:t>
      </w:r>
      <w:r w:rsidR="00615D49">
        <w:t xml:space="preserve"> the Government will put </w:t>
      </w:r>
      <w:r w:rsidR="00F81F44">
        <w:t>greater emphasize on environmental impact assessments (EIA)</w:t>
      </w:r>
      <w:r w:rsidR="008960B7">
        <w:t xml:space="preserve"> and</w:t>
      </w:r>
      <w:r w:rsidR="00A31E76">
        <w:t xml:space="preserve"> </w:t>
      </w:r>
      <w:r w:rsidR="008960B7">
        <w:t>mitigating measures.</w:t>
      </w:r>
    </w:p>
    <w:p w:rsidR="00615D49" w:rsidRDefault="00615D49" w:rsidP="00EE2688">
      <w:pPr>
        <w:jc w:val="both"/>
      </w:pPr>
      <w:r>
        <w:t>T</w:t>
      </w:r>
      <w:r w:rsidR="00722C50">
        <w:t xml:space="preserve">he </w:t>
      </w:r>
      <w:r w:rsidR="007B0D26" w:rsidRPr="007B0D26">
        <w:t xml:space="preserve">Research Council of Norway, the private energy industry, and </w:t>
      </w:r>
      <w:r w:rsidR="00F84689">
        <w:t>several</w:t>
      </w:r>
      <w:r w:rsidR="00F84689" w:rsidRPr="007B0D26">
        <w:t xml:space="preserve"> </w:t>
      </w:r>
      <w:r w:rsidR="007B0D26" w:rsidRPr="007B0D26">
        <w:t>research institutes and universities</w:t>
      </w:r>
      <w:r w:rsidR="007B0D26">
        <w:t xml:space="preserve"> funded</w:t>
      </w:r>
      <w:r w:rsidR="00EE2688">
        <w:t xml:space="preserve"> in 2009</w:t>
      </w:r>
      <w:r w:rsidR="007B0D26">
        <w:t xml:space="preserve"> the </w:t>
      </w:r>
      <w:r w:rsidR="007B0D26" w:rsidRPr="00E57275">
        <w:t>Centre for Environmental Design of Renewable Energy (CEDREN)</w:t>
      </w:r>
      <w:r w:rsidR="007B0D26">
        <w:t xml:space="preserve">. </w:t>
      </w:r>
      <w:r w:rsidR="00722C50">
        <w:t xml:space="preserve">CEDREN is </w:t>
      </w:r>
      <w:r w:rsidR="00EE2688">
        <w:t>one of eight Centers for Environmental friendly Energy Research (CEER)</w:t>
      </w:r>
      <w:r w:rsidR="00DF03E0">
        <w:t>,</w:t>
      </w:r>
      <w:r w:rsidR="00EE2688">
        <w:t xml:space="preserve"> </w:t>
      </w:r>
      <w:r w:rsidR="00DF03E0">
        <w:t xml:space="preserve">established </w:t>
      </w:r>
      <w:r w:rsidR="00EE2688">
        <w:t xml:space="preserve">as a direct response to the political agreement for a substantial increase in the research and development in the fields of renewable energy in Norway. </w:t>
      </w:r>
      <w:r>
        <w:t>CEDREN</w:t>
      </w:r>
      <w:r w:rsidR="007B0D26" w:rsidRPr="007B0D26">
        <w:t xml:space="preserve"> initiates research and development of hydropower, wind power, power line rights-of-way and implementation of environment and energy policy. </w:t>
      </w:r>
    </w:p>
    <w:p w:rsidR="00EE2688" w:rsidRDefault="00EE2688" w:rsidP="00EE2688">
      <w:pPr>
        <w:jc w:val="both"/>
      </w:pPr>
      <w:r>
        <w:t xml:space="preserve">One of the seven research projects organized by CEDREN is </w:t>
      </w:r>
      <w:r w:rsidR="00934D71">
        <w:t>focusing on</w:t>
      </w:r>
      <w:r>
        <w:t xml:space="preserve"> </w:t>
      </w:r>
      <w:r w:rsidRPr="007B0D26">
        <w:t>optimal design and routing of power lines (OPTIPOL)</w:t>
      </w:r>
      <w:r>
        <w:t xml:space="preserve">. As a part of OPTIPOL </w:t>
      </w:r>
      <w:r w:rsidR="00F84689">
        <w:t>t</w:t>
      </w:r>
      <w:r w:rsidR="00F84689" w:rsidRPr="0003059C">
        <w:t xml:space="preserve">he Norwegian Institute </w:t>
      </w:r>
      <w:r w:rsidR="00F84689">
        <w:t>for</w:t>
      </w:r>
      <w:r w:rsidR="00F84689" w:rsidRPr="0003059C">
        <w:t xml:space="preserve"> Nature Research (</w:t>
      </w:r>
      <w:r w:rsidR="00F84689">
        <w:t>NINA</w:t>
      </w:r>
      <w:r w:rsidR="00F84689" w:rsidRPr="0003059C">
        <w:t xml:space="preserve">) is </w:t>
      </w:r>
      <w:r w:rsidR="00F84689">
        <w:t>in charge of</w:t>
      </w:r>
      <w:r w:rsidR="00F84689" w:rsidRPr="0003059C">
        <w:t xml:space="preserve"> a project</w:t>
      </w:r>
      <w:r w:rsidR="00F84689">
        <w:t xml:space="preserve"> </w:t>
      </w:r>
      <w:r w:rsidR="00F84689" w:rsidRPr="0003059C">
        <w:t>(January 2011 to December 2013) where the main aim is to develop a Least Cost Path toolbox for environmental friendly routing of high voltage power lines</w:t>
      </w:r>
      <w:r w:rsidR="00F84689">
        <w:t xml:space="preserve">. The toolbox is </w:t>
      </w:r>
      <w:r w:rsidR="00F84689" w:rsidRPr="0003059C">
        <w:t>based on ecological, economic, social and technological perspectives</w:t>
      </w:r>
      <w:r w:rsidR="00F84689">
        <w:t xml:space="preserve"> and adapted to the rough</w:t>
      </w:r>
      <w:r w:rsidR="00F84689" w:rsidRPr="0003059C">
        <w:t xml:space="preserve"> </w:t>
      </w:r>
      <w:r w:rsidR="00F84689" w:rsidRPr="00D741D3">
        <w:t>topographic</w:t>
      </w:r>
      <w:r w:rsidR="00F84689">
        <w:t>al conditions in Norway</w:t>
      </w:r>
      <w:r w:rsidR="00F84689" w:rsidRPr="0003059C">
        <w:t xml:space="preserve">. </w:t>
      </w:r>
      <w:r w:rsidR="00004A48">
        <w:t xml:space="preserve">Important co-partners in this work are the </w:t>
      </w:r>
      <w:r w:rsidR="00004A48" w:rsidRPr="00004A48">
        <w:t>Norwegian Water Resources and Energy Directorate</w:t>
      </w:r>
      <w:r w:rsidR="00004A48">
        <w:t xml:space="preserve">, </w:t>
      </w:r>
      <w:r w:rsidR="00376C7F">
        <w:t xml:space="preserve">the Norwegian Directorate for Nature Management, the </w:t>
      </w:r>
      <w:r w:rsidR="00376C7F" w:rsidRPr="00376C7F">
        <w:t xml:space="preserve">non-profit industry organization </w:t>
      </w:r>
      <w:r w:rsidR="00376C7F">
        <w:t xml:space="preserve">Energy Norway, </w:t>
      </w:r>
      <w:r w:rsidR="00004A48">
        <w:t>t</w:t>
      </w:r>
      <w:r w:rsidR="00004A48" w:rsidRPr="00004A48">
        <w:t>he Norwegian national</w:t>
      </w:r>
      <w:r w:rsidR="00004A48">
        <w:t xml:space="preserve"> main grid owner and </w:t>
      </w:r>
      <w:r w:rsidR="00004A48" w:rsidRPr="00004A48">
        <w:t>operator Statnett</w:t>
      </w:r>
      <w:r w:rsidR="00004A48">
        <w:t xml:space="preserve"> and SINTEF Energy research.</w:t>
      </w:r>
    </w:p>
    <w:p w:rsidR="00EE2688" w:rsidRDefault="00232411" w:rsidP="00232411">
      <w:pPr>
        <w:pStyle w:val="Heading2"/>
      </w:pPr>
      <w:r>
        <w:t>Methodology and results</w:t>
      </w:r>
    </w:p>
    <w:p w:rsidR="003E6210" w:rsidRDefault="00591210" w:rsidP="007B0D26">
      <w:pPr>
        <w:jc w:val="both"/>
      </w:pPr>
      <w:r>
        <w:t xml:space="preserve">The </w:t>
      </w:r>
      <w:r w:rsidR="00F84689">
        <w:t>L</w:t>
      </w:r>
      <w:r>
        <w:t xml:space="preserve">east </w:t>
      </w:r>
      <w:r w:rsidR="00F84689">
        <w:t>C</w:t>
      </w:r>
      <w:r>
        <w:t xml:space="preserve">ost </w:t>
      </w:r>
      <w:r w:rsidR="00F84689">
        <w:t>P</w:t>
      </w:r>
      <w:r w:rsidRPr="00591210">
        <w:t>ath</w:t>
      </w:r>
      <w:r>
        <w:t xml:space="preserve"> methodology </w:t>
      </w:r>
      <w:r w:rsidR="000E1552">
        <w:t>helps to</w:t>
      </w:r>
      <w:r>
        <w:t xml:space="preserve"> find the </w:t>
      </w:r>
      <w:r w:rsidR="004E4236">
        <w:t>“</w:t>
      </w:r>
      <w:r w:rsidR="00F84689">
        <w:t>optimal</w:t>
      </w:r>
      <w:r w:rsidR="004E4236">
        <w:t>”</w:t>
      </w:r>
      <w:r w:rsidR="00F84689">
        <w:t xml:space="preserve"> </w:t>
      </w:r>
      <w:r>
        <w:t>path</w:t>
      </w:r>
      <w:r w:rsidRPr="00591210">
        <w:t xml:space="preserve"> between two locations </w:t>
      </w:r>
      <w:r w:rsidR="004E4236">
        <w:t>over</w:t>
      </w:r>
      <w:r>
        <w:t xml:space="preserve"> a cost surface</w:t>
      </w:r>
      <w:r w:rsidRPr="00591210">
        <w:t xml:space="preserve"> where </w:t>
      </w:r>
      <w:r>
        <w:t xml:space="preserve">the </w:t>
      </w:r>
      <w:r w:rsidRPr="00591210">
        <w:t>cost is a function of distance</w:t>
      </w:r>
      <w:r>
        <w:t xml:space="preserve"> and </w:t>
      </w:r>
      <w:r w:rsidR="000241E6">
        <w:t xml:space="preserve">several </w:t>
      </w:r>
      <w:r w:rsidRPr="00591210">
        <w:t>user</w:t>
      </w:r>
      <w:r>
        <w:t xml:space="preserve"> defined criteria</w:t>
      </w:r>
      <w:r w:rsidRPr="00591210">
        <w:t>.</w:t>
      </w:r>
      <w:r>
        <w:t xml:space="preserve"> The </w:t>
      </w:r>
      <w:r w:rsidR="007C2820">
        <w:t xml:space="preserve">LCP </w:t>
      </w:r>
      <w:r>
        <w:t xml:space="preserve">methodology has been applied in GIS for </w:t>
      </w:r>
      <w:r w:rsidR="007C2820">
        <w:t>many</w:t>
      </w:r>
      <w:r>
        <w:t xml:space="preserve"> years</w:t>
      </w:r>
      <w:r w:rsidR="007C2820">
        <w:t xml:space="preserve"> and very little </w:t>
      </w:r>
      <w:r w:rsidR="004E4236">
        <w:t xml:space="preserve">has </w:t>
      </w:r>
      <w:r w:rsidR="007C2820">
        <w:t xml:space="preserve">changed with respect to the technical approach. </w:t>
      </w:r>
      <w:r w:rsidR="004E4236">
        <w:t>C</w:t>
      </w:r>
      <w:r w:rsidR="000E1552">
        <w:t>ontrary</w:t>
      </w:r>
      <w:r w:rsidR="007C2820">
        <w:t xml:space="preserve"> the procedures for calibrating and weighting model criteria have changed rapidly (Berry 2007). </w:t>
      </w:r>
    </w:p>
    <w:p w:rsidR="00EE2688" w:rsidRDefault="00C214F5" w:rsidP="007B0D26">
      <w:pPr>
        <w:jc w:val="both"/>
      </w:pPr>
      <w:r>
        <w:t xml:space="preserve">The </w:t>
      </w:r>
      <w:r w:rsidR="00DF03E0">
        <w:t xml:space="preserve">Optipol </w:t>
      </w:r>
      <w:r w:rsidR="006D6347">
        <w:t>LCP-toolbox</w:t>
      </w:r>
      <w:r>
        <w:t xml:space="preserve"> version 1.0 was realized as a pilot in April 2012. The toolbox is developed on the ArcGIS10 platform</w:t>
      </w:r>
      <w:r w:rsidR="0008301F">
        <w:t xml:space="preserve"> (ArcInfo and Spatial Analyst)</w:t>
      </w:r>
      <w:r>
        <w:t xml:space="preserve"> and contains geoprocessing functionality for </w:t>
      </w:r>
      <w:r w:rsidR="00292FF1">
        <w:t>calculation of cost surfaces, w</w:t>
      </w:r>
      <w:r w:rsidR="00A339AF">
        <w:t>e</w:t>
      </w:r>
      <w:r w:rsidR="00292FF1">
        <w:t xml:space="preserve">ighted sum overlay and </w:t>
      </w:r>
      <w:r w:rsidR="0008301F">
        <w:t xml:space="preserve">least cost </w:t>
      </w:r>
      <w:r w:rsidR="00292FF1">
        <w:t>corridor/</w:t>
      </w:r>
      <w:r w:rsidR="0008301F">
        <w:t xml:space="preserve">path </w:t>
      </w:r>
      <w:r>
        <w:t>in a Modelbuilder user interface. All implemented thematic</w:t>
      </w:r>
      <w:r w:rsidR="007A2773">
        <w:t xml:space="preserve"> content</w:t>
      </w:r>
      <w:r w:rsidR="004E4236">
        <w:t>s</w:t>
      </w:r>
      <w:r>
        <w:t xml:space="preserve"> are organized in a geodatabase as raster layers with a fixed resolution of 10x10 meters. </w:t>
      </w:r>
      <w:r w:rsidR="0008301F">
        <w:t>The toolbox is flexible with respect to implementation of new them</w:t>
      </w:r>
      <w:r w:rsidR="007A2773">
        <w:t>atic content</w:t>
      </w:r>
      <w:r w:rsidR="0008301F">
        <w:t xml:space="preserve">, criteria and criteria values. In addition the toolbox </w:t>
      </w:r>
      <w:r w:rsidR="007A2773">
        <w:t xml:space="preserve">also </w:t>
      </w:r>
      <w:r w:rsidR="0008301F">
        <w:t>offers effective handling of large scale multi</w:t>
      </w:r>
      <w:r w:rsidR="00C314EE">
        <w:t>-</w:t>
      </w:r>
      <w:r w:rsidR="0008301F">
        <w:t xml:space="preserve">criteria datasets. </w:t>
      </w:r>
    </w:p>
    <w:p w:rsidR="000E1552" w:rsidRDefault="007F310D" w:rsidP="001B1D72">
      <w:pPr>
        <w:jc w:val="both"/>
      </w:pPr>
      <w:r>
        <w:t xml:space="preserve">To calibrate the variety of </w:t>
      </w:r>
      <w:r w:rsidR="009342DF">
        <w:t>stakeholder interest</w:t>
      </w:r>
      <w:r w:rsidR="000241E6">
        <w:t>s</w:t>
      </w:r>
      <w:r w:rsidR="009342DF">
        <w:t xml:space="preserve"> and </w:t>
      </w:r>
      <w:r w:rsidR="004E4236">
        <w:t xml:space="preserve">legal </w:t>
      </w:r>
      <w:r w:rsidR="002E4035">
        <w:t>requirements</w:t>
      </w:r>
      <w:r w:rsidR="009342DF">
        <w:t xml:space="preserve"> </w:t>
      </w:r>
      <w:r>
        <w:t>into standardized criteria</w:t>
      </w:r>
      <w:r w:rsidR="00C10009">
        <w:t xml:space="preserve"> for </w:t>
      </w:r>
      <w:r w:rsidR="001D5489">
        <w:t>calculation of cost surfaces</w:t>
      </w:r>
      <w:r w:rsidR="00C10009">
        <w:t xml:space="preserve"> </w:t>
      </w:r>
      <w:r w:rsidR="00265F59">
        <w:t>in non-restricted areas</w:t>
      </w:r>
      <w:r w:rsidR="000241E6">
        <w:t>,</w:t>
      </w:r>
      <w:r w:rsidR="00265F59">
        <w:t xml:space="preserve"> </w:t>
      </w:r>
      <w:r>
        <w:t xml:space="preserve">we have </w:t>
      </w:r>
      <w:r w:rsidR="00C10009">
        <w:t xml:space="preserve">applied </w:t>
      </w:r>
      <w:r>
        <w:t xml:space="preserve">a Fuzzy logic </w:t>
      </w:r>
      <w:r w:rsidR="001D5489">
        <w:t>methodology</w:t>
      </w:r>
      <w:r>
        <w:t xml:space="preserve"> based on </w:t>
      </w:r>
      <w:r w:rsidRPr="007F310D">
        <w:t>stakeholder</w:t>
      </w:r>
      <w:r w:rsidR="004E4236">
        <w:t>s</w:t>
      </w:r>
      <w:r w:rsidRPr="007F310D">
        <w:t>’ degree of accept</w:t>
      </w:r>
      <w:r w:rsidR="00083180">
        <w:t xml:space="preserve"> measured</w:t>
      </w:r>
      <w:r w:rsidRPr="007F310D">
        <w:t xml:space="preserve"> on a continuous scale from 0 to 1</w:t>
      </w:r>
      <w:r w:rsidR="00C10009">
        <w:t xml:space="preserve"> </w:t>
      </w:r>
      <w:r w:rsidR="00731956">
        <w:t>(</w:t>
      </w:r>
      <w:r w:rsidR="00C10009" w:rsidRPr="00C10009">
        <w:t>Zadeh 1965, Zadeh et al. 1996).</w:t>
      </w:r>
      <w:r w:rsidR="00C10009">
        <w:t xml:space="preserve"> </w:t>
      </w:r>
      <w:r w:rsidR="00C0217F">
        <w:t>R</w:t>
      </w:r>
      <w:r w:rsidR="001D5489">
        <w:t xml:space="preserve">estricted areas where routing of power lines is prohibited </w:t>
      </w:r>
      <w:r w:rsidR="00B1045F">
        <w:t>are</w:t>
      </w:r>
      <w:r w:rsidR="001D5489">
        <w:t xml:space="preserve"> excluded from the least cost path calculation</w:t>
      </w:r>
      <w:r w:rsidR="00B1045F">
        <w:t xml:space="preserve"> as </w:t>
      </w:r>
      <w:r w:rsidR="00C0217F">
        <w:t>n</w:t>
      </w:r>
      <w:r w:rsidR="00B1045F">
        <w:t>o</w:t>
      </w:r>
      <w:r w:rsidR="00C0217F">
        <w:t xml:space="preserve"> d</w:t>
      </w:r>
      <w:r w:rsidR="00B1045F">
        <w:t>ata areas</w:t>
      </w:r>
      <w:r w:rsidR="001D5489">
        <w:t>.</w:t>
      </w:r>
      <w:r w:rsidR="00265F59">
        <w:t xml:space="preserve"> </w:t>
      </w:r>
    </w:p>
    <w:p w:rsidR="00265F59" w:rsidRDefault="00B35B8D" w:rsidP="001B1D72">
      <w:pPr>
        <w:jc w:val="both"/>
      </w:pPr>
      <w:r>
        <w:t>H</w:t>
      </w:r>
      <w:r w:rsidR="00865A18">
        <w:t>ow to measure</w:t>
      </w:r>
      <w:r w:rsidR="00625CB9">
        <w:t xml:space="preserve"> </w:t>
      </w:r>
      <w:r w:rsidR="00865A18">
        <w:t>criteria value</w:t>
      </w:r>
      <w:r w:rsidR="000241E6">
        <w:t>s</w:t>
      </w:r>
      <w:r w:rsidR="00865A18">
        <w:t xml:space="preserve">? </w:t>
      </w:r>
      <w:r>
        <w:t xml:space="preserve">Can all kinds of criteria values be measured? </w:t>
      </w:r>
      <w:r w:rsidR="001618C0">
        <w:t>For example</w:t>
      </w:r>
      <w:r w:rsidR="00601685">
        <w:t xml:space="preserve"> </w:t>
      </w:r>
      <w:r w:rsidR="00625CB9">
        <w:t xml:space="preserve">are </w:t>
      </w:r>
      <w:r w:rsidR="00601685">
        <w:t>Samii d</w:t>
      </w:r>
      <w:r w:rsidR="007A7AEC">
        <w:t>omestic reindeer herding</w:t>
      </w:r>
      <w:r w:rsidR="00601685">
        <w:t xml:space="preserve"> interests</w:t>
      </w:r>
      <w:r w:rsidR="007A7AEC">
        <w:t xml:space="preserve"> very challenging to measure because of </w:t>
      </w:r>
      <w:r w:rsidR="00601685">
        <w:t>its</w:t>
      </w:r>
      <w:r w:rsidR="007A7AEC">
        <w:t xml:space="preserve"> dynamic land use form </w:t>
      </w:r>
      <w:r w:rsidR="007A7AEC">
        <w:lastRenderedPageBreak/>
        <w:t xml:space="preserve">adapted to seasonal and climatic fluctuations. </w:t>
      </w:r>
      <w:r w:rsidR="00624847">
        <w:t>Also</w:t>
      </w:r>
      <w:r w:rsidR="000E1552">
        <w:t xml:space="preserve"> is p</w:t>
      </w:r>
      <w:r w:rsidR="007A7AEC">
        <w:t>erception of symbolic landscapes</w:t>
      </w:r>
      <w:r w:rsidR="000E1552">
        <w:t xml:space="preserve"> </w:t>
      </w:r>
      <w:r w:rsidR="00601685">
        <w:t xml:space="preserve">very </w:t>
      </w:r>
      <w:r w:rsidR="007A7AEC">
        <w:t xml:space="preserve">challenging to measure because of its value-added complexity. </w:t>
      </w:r>
      <w:r w:rsidR="00A11D0E">
        <w:t xml:space="preserve">Despite these </w:t>
      </w:r>
      <w:r w:rsidR="00601685">
        <w:t xml:space="preserve">kind of </w:t>
      </w:r>
      <w:r w:rsidR="00A11D0E">
        <w:t>challenges we belief that most stakeholder</w:t>
      </w:r>
      <w:r w:rsidR="004E4236">
        <w:t>s’</w:t>
      </w:r>
      <w:r w:rsidR="00A11D0E">
        <w:t xml:space="preserve"> degree of accept could be generalized, quantified and measured with the use of Fuzzy logics. </w:t>
      </w:r>
      <w:r w:rsidR="000702C8">
        <w:t>Fuzzy logic assumes that acceptance changes on a continuous scale, instead of binary. To</w:t>
      </w:r>
      <w:r w:rsidR="00A11D0E">
        <w:t xml:space="preserve"> </w:t>
      </w:r>
      <w:r w:rsidR="00731956" w:rsidRPr="000702C8">
        <w:t>exemplif</w:t>
      </w:r>
      <w:r w:rsidR="000702C8" w:rsidRPr="000702C8">
        <w:t>y this we could assess</w:t>
      </w:r>
      <w:r w:rsidR="001B1D72" w:rsidRPr="00624847">
        <w:t xml:space="preserve"> acceptable placement of power lines on high altitude ridges in order to avoid and/or reduce silhouette effects and visual disturbance for observers within visibility range</w:t>
      </w:r>
      <w:r w:rsidR="000702C8" w:rsidRPr="00624847">
        <w:t>.</w:t>
      </w:r>
      <w:r w:rsidR="001B1D72" w:rsidRPr="00624847">
        <w:t xml:space="preserve"> </w:t>
      </w:r>
      <w:r w:rsidR="000702C8">
        <w:t>Here we may assume a difference between whether we wish</w:t>
      </w:r>
      <w:r w:rsidR="00370531" w:rsidRPr="00624847">
        <w:t xml:space="preserve"> to totally avoid silhouette effects and visual disturbance </w:t>
      </w:r>
      <w:r w:rsidR="000702C8">
        <w:t>(i.e. absolute or binary approach)</w:t>
      </w:r>
      <w:r w:rsidR="00370531" w:rsidRPr="00624847">
        <w:t xml:space="preserve"> or </w:t>
      </w:r>
      <w:r w:rsidR="000702C8">
        <w:t>whether we</w:t>
      </w:r>
      <w:r w:rsidR="00370531" w:rsidRPr="00624847">
        <w:t xml:space="preserve"> could accept</w:t>
      </w:r>
      <w:r w:rsidR="000241E6" w:rsidRPr="00624847">
        <w:t xml:space="preserve"> </w:t>
      </w:r>
      <w:r w:rsidR="000702C8" w:rsidRPr="00DC5902">
        <w:t>silhouette effects and visual disturbance</w:t>
      </w:r>
      <w:r w:rsidR="000702C8">
        <w:t xml:space="preserve"> </w:t>
      </w:r>
      <w:r w:rsidR="000241E6" w:rsidRPr="00624847">
        <w:t>to some extent</w:t>
      </w:r>
      <w:r w:rsidR="00624847">
        <w:t xml:space="preserve"> </w:t>
      </w:r>
      <w:r w:rsidR="000702C8">
        <w:t>(i.e. continuously changing degree of accept</w:t>
      </w:r>
      <w:r w:rsidR="00624847">
        <w:t xml:space="preserve">, </w:t>
      </w:r>
      <w:r w:rsidR="000702C8">
        <w:t xml:space="preserve">see </w:t>
      </w:r>
      <w:r w:rsidR="00C314EE">
        <w:t>figure</w:t>
      </w:r>
      <w:r w:rsidR="000702C8">
        <w:t xml:space="preserve"> 1).</w:t>
      </w:r>
      <w:r w:rsidR="00370531">
        <w:t xml:space="preserve"> </w:t>
      </w:r>
      <w:r w:rsidR="003D2B55">
        <w:t xml:space="preserve">An absolute criteria definition </w:t>
      </w:r>
      <w:r w:rsidR="007314DA">
        <w:t xml:space="preserve">could be that the only acceptable power line placement is </w:t>
      </w:r>
      <w:r w:rsidR="007E14CA">
        <w:t xml:space="preserve">at least half a </w:t>
      </w:r>
      <w:r w:rsidR="007314DA">
        <w:t xml:space="preserve">post height </w:t>
      </w:r>
      <w:r w:rsidR="00325AED">
        <w:t xml:space="preserve">below the top of the ridges </w:t>
      </w:r>
      <w:r w:rsidR="007314DA">
        <w:t xml:space="preserve">(i.e. </w:t>
      </w:r>
      <w:r w:rsidR="007E14CA">
        <w:t xml:space="preserve">15 </w:t>
      </w:r>
      <w:r w:rsidR="007314DA">
        <w:t xml:space="preserve">meters). This will </w:t>
      </w:r>
      <w:r w:rsidR="00731956">
        <w:t xml:space="preserve">give </w:t>
      </w:r>
      <w:r w:rsidR="007314DA">
        <w:t xml:space="preserve">a degree of accept of </w:t>
      </w:r>
      <w:r w:rsidR="007E14CA">
        <w:t xml:space="preserve">0 </w:t>
      </w:r>
      <w:r w:rsidR="007314DA">
        <w:t xml:space="preserve">(vertical placement of power lines </w:t>
      </w:r>
      <w:r w:rsidR="007E14CA">
        <w:t xml:space="preserve">less </w:t>
      </w:r>
      <w:r w:rsidR="007314DA">
        <w:t xml:space="preserve">than </w:t>
      </w:r>
      <w:r w:rsidR="007E14CA">
        <w:t xml:space="preserve">15 </w:t>
      </w:r>
      <w:r w:rsidR="007314DA">
        <w:t>meters</w:t>
      </w:r>
      <w:r w:rsidR="00325AED">
        <w:t xml:space="preserve"> below the ridge top is</w:t>
      </w:r>
      <w:r w:rsidR="007314DA">
        <w:t xml:space="preserve"> not acceptable) and </w:t>
      </w:r>
      <w:r w:rsidR="007E14CA">
        <w:t xml:space="preserve">1 </w:t>
      </w:r>
      <w:r w:rsidR="007314DA">
        <w:t xml:space="preserve">(vertical placement of power lines </w:t>
      </w:r>
      <w:r w:rsidR="007E14CA">
        <w:t xml:space="preserve">more </w:t>
      </w:r>
      <w:r w:rsidR="007314DA">
        <w:t xml:space="preserve">than </w:t>
      </w:r>
      <w:r w:rsidR="007E14CA">
        <w:t xml:space="preserve">15 </w:t>
      </w:r>
      <w:r w:rsidR="007314DA">
        <w:t>meters</w:t>
      </w:r>
      <w:r w:rsidR="00325AED">
        <w:t xml:space="preserve"> below the ridge top</w:t>
      </w:r>
      <w:r w:rsidR="007314DA">
        <w:t xml:space="preserve"> is acceptable). The function will be binary (green graph). If we define the criteria </w:t>
      </w:r>
      <w:r w:rsidR="00731956">
        <w:t xml:space="preserve">in a </w:t>
      </w:r>
      <w:r w:rsidR="007314DA">
        <w:t xml:space="preserve">more flexible </w:t>
      </w:r>
      <w:r w:rsidR="00731956">
        <w:t xml:space="preserve">way </w:t>
      </w:r>
      <w:r w:rsidR="007314DA">
        <w:t xml:space="preserve">we could say that it is not acceptable to place the power lines at the top of the ridges, 15 meters below </w:t>
      </w:r>
      <w:r w:rsidR="00325AED">
        <w:t>the ridge top</w:t>
      </w:r>
      <w:r w:rsidR="007314DA">
        <w:t xml:space="preserve"> </w:t>
      </w:r>
      <w:r w:rsidR="00731956">
        <w:t>is</w:t>
      </w:r>
      <w:r w:rsidR="007314DA">
        <w:t xml:space="preserve"> fairly acceptable and 30 meters (1 post heigth) below the top of the ridges </w:t>
      </w:r>
      <w:r w:rsidR="00731956">
        <w:t>is</w:t>
      </w:r>
      <w:r w:rsidR="007314DA">
        <w:t xml:space="preserve"> most acceptable</w:t>
      </w:r>
      <w:r w:rsidR="00573B83">
        <w:t>,</w:t>
      </w:r>
      <w:r w:rsidR="007314DA">
        <w:t xml:space="preserve"> we will have a more c</w:t>
      </w:r>
      <w:r w:rsidR="007314DA" w:rsidRPr="007314DA">
        <w:t>ontinuous degree of accept (red graph)</w:t>
      </w:r>
      <w:r w:rsidR="007314DA">
        <w:t>.</w:t>
      </w:r>
      <w:r w:rsidR="00292FF1">
        <w:t xml:space="preserve"> </w:t>
      </w:r>
    </w:p>
    <w:p w:rsidR="00BC5ED6" w:rsidRDefault="00AE045A" w:rsidP="001B1D72">
      <w:pPr>
        <w:jc w:val="both"/>
      </w:pPr>
      <w:r>
        <w:rPr>
          <w:noProof/>
        </w:rPr>
        <w:drawing>
          <wp:inline distT="0" distB="0" distL="0" distR="0" wp14:anchorId="6F510152" wp14:editId="11ACA13A">
            <wp:extent cx="5943600" cy="3395169"/>
            <wp:effectExtent l="0" t="0" r="19050" b="152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32892" w:rsidRDefault="00731956" w:rsidP="00731956">
      <w:pPr>
        <w:pStyle w:val="Caption"/>
        <w:jc w:val="both"/>
      </w:pPr>
      <w:r>
        <w:t xml:space="preserve">Figure </w:t>
      </w:r>
      <w:fldSimple w:instr=" SEQ Figure \* ARABIC ">
        <w:r w:rsidR="0069619F">
          <w:rPr>
            <w:noProof/>
          </w:rPr>
          <w:t>1</w:t>
        </w:r>
      </w:fldSimple>
      <w:r>
        <w:t>: Degree of acceptance: P</w:t>
      </w:r>
      <w:r w:rsidRPr="00731956">
        <w:t>lacement of power lines on high altitude ridges in order to avoid and/or reduce silhouette effects and visual disturbance</w:t>
      </w:r>
      <w:r>
        <w:t xml:space="preserve"> (</w:t>
      </w:r>
      <w:r w:rsidR="0071516B">
        <w:t xml:space="preserve">green graph is the </w:t>
      </w:r>
      <w:r>
        <w:t xml:space="preserve">binary and </w:t>
      </w:r>
      <w:r w:rsidR="0071516B">
        <w:t xml:space="preserve">red graph is the </w:t>
      </w:r>
      <w:r>
        <w:t xml:space="preserve">continuous fuzzy logic function). </w:t>
      </w:r>
    </w:p>
    <w:p w:rsidR="00A339AF" w:rsidRDefault="00B220BB" w:rsidP="00C12EA5">
      <w:pPr>
        <w:jc w:val="both"/>
      </w:pPr>
      <w:r>
        <w:t xml:space="preserve">Assuming that </w:t>
      </w:r>
      <w:r w:rsidR="009C10B1">
        <w:t xml:space="preserve">placement of power lines </w:t>
      </w:r>
      <w:r>
        <w:t xml:space="preserve">15 meters below the top of the ridge </w:t>
      </w:r>
      <w:r w:rsidR="009C10B1">
        <w:t>are</w:t>
      </w:r>
      <w:r>
        <w:t xml:space="preserve"> fairly acceptable we can apply the criteria value and calculate </w:t>
      </w:r>
      <w:r w:rsidR="009C10B1">
        <w:t>the</w:t>
      </w:r>
      <w:r>
        <w:t xml:space="preserve"> cost surface </w:t>
      </w:r>
      <w:r w:rsidR="00A339AF">
        <w:t xml:space="preserve">using the following </w:t>
      </w:r>
      <w:r w:rsidR="007F7152">
        <w:t xml:space="preserve">sigmoid </w:t>
      </w:r>
      <w:r w:rsidR="00A339AF">
        <w:t xml:space="preserve">equation: </w:t>
      </w:r>
    </w:p>
    <w:p w:rsidR="00B220BB" w:rsidRDefault="00B220BB" w:rsidP="00C12EA5">
      <w:pPr>
        <w:jc w:val="both"/>
      </w:pPr>
      <w:r w:rsidRPr="00B220BB">
        <w:rPr>
          <w:noProof/>
        </w:rPr>
        <w:lastRenderedPageBreak/>
        <w:drawing>
          <wp:inline distT="0" distB="0" distL="0" distR="0" wp14:anchorId="26B1D9E8" wp14:editId="100156BA">
            <wp:extent cx="2463668" cy="879289"/>
            <wp:effectExtent l="0" t="0" r="0" b="0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24" cy="8802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31956" w:rsidRDefault="007F7152" w:rsidP="00C12EA5">
      <w:pPr>
        <w:jc w:val="both"/>
      </w:pPr>
      <w:r>
        <w:t xml:space="preserve">This equation assumes that acceptance or rejection is reached within the 90% confidence interval (i.e. at 0.95 and 0.05 respectively); this to avoid acceptance or rejection reaching infinity. </w:t>
      </w:r>
      <w:r w:rsidR="00151203">
        <w:t>A</w:t>
      </w:r>
      <w:r w:rsidR="009C10B1">
        <w:t xml:space="preserve">ll </w:t>
      </w:r>
      <w:r w:rsidR="00C12EA5">
        <w:t>sub</w:t>
      </w:r>
      <w:r>
        <w:t>-</w:t>
      </w:r>
      <w:r w:rsidR="00C12EA5">
        <w:t xml:space="preserve">thematic </w:t>
      </w:r>
      <w:r w:rsidR="00C12EA5" w:rsidRPr="00C12EA5">
        <w:t>cost</w:t>
      </w:r>
      <w:r w:rsidR="00C12EA5">
        <w:t xml:space="preserve"> </w:t>
      </w:r>
      <w:r w:rsidR="00C12EA5" w:rsidRPr="00C12EA5">
        <w:t xml:space="preserve">surfaces are </w:t>
      </w:r>
      <w:r w:rsidR="009C10B1">
        <w:t>calculated</w:t>
      </w:r>
      <w:r w:rsidR="00151203">
        <w:t xml:space="preserve"> in the manner described above based on the degree of acceptance</w:t>
      </w:r>
      <w:r w:rsidR="009C10B1">
        <w:t xml:space="preserve">. They </w:t>
      </w:r>
      <w:r w:rsidR="000702C8">
        <w:t>are thereafter</w:t>
      </w:r>
      <w:r w:rsidR="009C10B1">
        <w:t xml:space="preserve"> </w:t>
      </w:r>
      <w:r w:rsidR="00C12EA5" w:rsidRPr="00C12EA5">
        <w:t xml:space="preserve">weighted </w:t>
      </w:r>
      <w:r>
        <w:t>proportional</w:t>
      </w:r>
      <w:r w:rsidR="00C12EA5">
        <w:t xml:space="preserve"> </w:t>
      </w:r>
      <w:r w:rsidR="00C12EA5" w:rsidRPr="00C12EA5">
        <w:t>to their relative importance and summarized into thematic cost surfaces.</w:t>
      </w:r>
      <w:r w:rsidR="00C12EA5">
        <w:t xml:space="preserve"> </w:t>
      </w:r>
      <w:r w:rsidR="00C12EA5" w:rsidRPr="00C12EA5">
        <w:t xml:space="preserve">The thematic surfaces </w:t>
      </w:r>
      <w:r w:rsidR="008F159E">
        <w:t>in turn</w:t>
      </w:r>
      <w:r w:rsidR="00C12EA5" w:rsidRPr="00C12EA5">
        <w:t xml:space="preserve"> </w:t>
      </w:r>
      <w:r w:rsidR="008F159E">
        <w:t>are</w:t>
      </w:r>
      <w:r w:rsidR="00C12EA5" w:rsidRPr="00C12EA5">
        <w:t xml:space="preserve"> weighted </w:t>
      </w:r>
      <w:r>
        <w:t xml:space="preserve">proportional </w:t>
      </w:r>
      <w:r w:rsidR="00C12EA5" w:rsidRPr="00C12EA5">
        <w:t>to their relative importance and summarized into cost surfaces for each</w:t>
      </w:r>
      <w:r w:rsidR="002931F6">
        <w:t xml:space="preserve"> of the</w:t>
      </w:r>
      <w:r w:rsidR="00C12EA5" w:rsidRPr="00C12EA5">
        <w:t xml:space="preserve"> perspective</w:t>
      </w:r>
      <w:r w:rsidR="002931F6">
        <w:t>s</w:t>
      </w:r>
      <w:r w:rsidR="009C10B1">
        <w:t xml:space="preserve"> (</w:t>
      </w:r>
      <w:r w:rsidR="00573B83">
        <w:t>ecology</w:t>
      </w:r>
      <w:r w:rsidR="009C10B1">
        <w:t xml:space="preserve">, </w:t>
      </w:r>
      <w:r w:rsidR="00573B83">
        <w:t>economy</w:t>
      </w:r>
      <w:r w:rsidR="009C10B1">
        <w:t xml:space="preserve">, </w:t>
      </w:r>
      <w:r w:rsidR="00090B45">
        <w:t>societal</w:t>
      </w:r>
      <w:r w:rsidR="009C10B1">
        <w:t xml:space="preserve"> and </w:t>
      </w:r>
      <w:r w:rsidR="00573B83">
        <w:t>technology</w:t>
      </w:r>
      <w:r w:rsidR="009C10B1">
        <w:t xml:space="preserve">). </w:t>
      </w:r>
      <w:r w:rsidR="00C12EA5">
        <w:t xml:space="preserve">Finally all perspective cost surfaces are weighted </w:t>
      </w:r>
      <w:r w:rsidR="000702C8">
        <w:t xml:space="preserve">proportional </w:t>
      </w:r>
      <w:r w:rsidR="00C12EA5" w:rsidRPr="00C12EA5">
        <w:t xml:space="preserve">to their relative importance and summarized into </w:t>
      </w:r>
      <w:r w:rsidR="000702C8">
        <w:t>a</w:t>
      </w:r>
      <w:r w:rsidR="00C12EA5">
        <w:t xml:space="preserve"> </w:t>
      </w:r>
      <w:r w:rsidR="00821FA1">
        <w:t>total</w:t>
      </w:r>
      <w:r w:rsidR="00C12EA5">
        <w:t xml:space="preserve"> </w:t>
      </w:r>
      <w:r w:rsidR="00C12EA5" w:rsidRPr="00C12EA5">
        <w:t>cost surface</w:t>
      </w:r>
      <w:r w:rsidR="00C12EA5">
        <w:t>.</w:t>
      </w:r>
      <w:r w:rsidR="008F159E">
        <w:t xml:space="preserve"> Restricted areas where routing of power lines </w:t>
      </w:r>
      <w:r w:rsidR="00D44608">
        <w:t xml:space="preserve">are </w:t>
      </w:r>
      <w:r w:rsidR="008F159E">
        <w:t xml:space="preserve">prohibited are excluded from the least cost path calculation as </w:t>
      </w:r>
      <w:r w:rsidR="002176BC">
        <w:t>no-</w:t>
      </w:r>
      <w:r w:rsidR="008F159E">
        <w:t>data areas</w:t>
      </w:r>
      <w:r w:rsidR="00D44608">
        <w:t xml:space="preserve"> and consequently no power lines can be located in such areas</w:t>
      </w:r>
      <w:r w:rsidR="008F159E">
        <w:t>.</w:t>
      </w:r>
      <w:r w:rsidR="00292FF1">
        <w:t xml:space="preserve"> </w:t>
      </w:r>
    </w:p>
    <w:p w:rsidR="008F159E" w:rsidRDefault="00292FF1" w:rsidP="00C12EA5">
      <w:pPr>
        <w:jc w:val="both"/>
      </w:pPr>
      <w:r>
        <w:t xml:space="preserve">In the methodological development we have </w:t>
      </w:r>
      <w:r w:rsidR="002176BC">
        <w:t xml:space="preserve">received </w:t>
      </w:r>
      <w:r>
        <w:t>many usefull inputs</w:t>
      </w:r>
      <w:r w:rsidR="00151203">
        <w:t xml:space="preserve"> on power line routing planning</w:t>
      </w:r>
      <w:r>
        <w:t xml:space="preserve"> from t</w:t>
      </w:r>
      <w:r w:rsidRPr="00292FF1">
        <w:t>he Norwegian Water Resources and Energy Directorate</w:t>
      </w:r>
      <w:r>
        <w:t xml:space="preserve"> and t</w:t>
      </w:r>
      <w:r w:rsidRPr="00292FF1">
        <w:t>he Norwegian national main grid owner/operator Statnett</w:t>
      </w:r>
      <w:r>
        <w:t xml:space="preserve">. They </w:t>
      </w:r>
      <w:r w:rsidR="002176BC">
        <w:t xml:space="preserve">wished </w:t>
      </w:r>
      <w:r>
        <w:t xml:space="preserve">us to validate the </w:t>
      </w:r>
      <w:r w:rsidR="002931F6">
        <w:t xml:space="preserve">Optipol </w:t>
      </w:r>
      <w:r>
        <w:t>LCP-too</w:t>
      </w:r>
      <w:r w:rsidR="00A339AF">
        <w:t xml:space="preserve">lbox with a </w:t>
      </w:r>
      <w:r w:rsidR="002176BC">
        <w:t>real</w:t>
      </w:r>
      <w:r w:rsidR="003360EA">
        <w:t xml:space="preserve"> </w:t>
      </w:r>
      <w:r w:rsidR="00A339AF">
        <w:t xml:space="preserve">world case study. </w:t>
      </w:r>
      <w:r w:rsidR="0008784A">
        <w:t>A 420 kV power line project finalized in 2005 between Klæbu and Viklandet in central Norway was selected</w:t>
      </w:r>
      <w:r w:rsidR="00D44608">
        <w:t xml:space="preserve"> </w:t>
      </w:r>
      <w:r w:rsidR="002176BC">
        <w:t>for this</w:t>
      </w:r>
      <w:r w:rsidR="003360EA">
        <w:t xml:space="preserve"> purpose</w:t>
      </w:r>
      <w:r w:rsidR="00E523C5">
        <w:t>.</w:t>
      </w:r>
      <w:r w:rsidR="00D44608">
        <w:t xml:space="preserve"> </w:t>
      </w:r>
      <w:r w:rsidR="0008784A">
        <w:t>To save time and work preparing historical EIA-data from 2001 and 2002 we focused on five</w:t>
      </w:r>
      <w:r w:rsidR="00D44608">
        <w:t xml:space="preserve"> affected</w:t>
      </w:r>
      <w:r w:rsidR="0008784A">
        <w:t xml:space="preserve"> municipalities </w:t>
      </w:r>
      <w:r w:rsidR="004766B6">
        <w:t xml:space="preserve">in </w:t>
      </w:r>
      <w:r w:rsidR="00E523C5">
        <w:t>the study area.</w:t>
      </w:r>
      <w:r w:rsidR="00E523C5" w:rsidDel="00E523C5">
        <w:t xml:space="preserve"> </w:t>
      </w:r>
      <w:r w:rsidR="00E523C5">
        <w:t>A subset of themes was</w:t>
      </w:r>
      <w:r w:rsidR="0008784A">
        <w:t xml:space="preserve"> </w:t>
      </w:r>
      <w:r w:rsidR="00265F57">
        <w:t>identified</w:t>
      </w:r>
      <w:r w:rsidR="0008784A">
        <w:t xml:space="preserve"> </w:t>
      </w:r>
      <w:r w:rsidR="00E523C5">
        <w:t xml:space="preserve">(both from </w:t>
      </w:r>
      <w:r w:rsidR="0008784A">
        <w:t xml:space="preserve">the </w:t>
      </w:r>
      <w:r w:rsidR="00265F57">
        <w:t>Statnett</w:t>
      </w:r>
      <w:r w:rsidR="001618C0">
        <w:t xml:space="preserve"> </w:t>
      </w:r>
      <w:r w:rsidR="00265F57">
        <w:t xml:space="preserve">application for construction and the </w:t>
      </w:r>
      <w:r w:rsidR="00821FA1">
        <w:t>two</w:t>
      </w:r>
      <w:r w:rsidR="00265F57">
        <w:t xml:space="preserve"> EI</w:t>
      </w:r>
      <w:r w:rsidR="00821FA1">
        <w:t>A</w:t>
      </w:r>
      <w:r w:rsidR="00265F57">
        <w:t>s</w:t>
      </w:r>
      <w:r w:rsidR="00E523C5">
        <w:t>)</w:t>
      </w:r>
      <w:r w:rsidR="00265F57">
        <w:t xml:space="preserve"> and prepared fo</w:t>
      </w:r>
      <w:r w:rsidR="00533E42">
        <w:t xml:space="preserve">r the </w:t>
      </w:r>
      <w:r w:rsidR="002931F6">
        <w:t xml:space="preserve">Optipol </w:t>
      </w:r>
      <w:r w:rsidR="00533E42">
        <w:t xml:space="preserve">LCP-database (see figure </w:t>
      </w:r>
      <w:r w:rsidR="00AD3997">
        <w:t>2</w:t>
      </w:r>
      <w:r w:rsidR="00265F57">
        <w:t>)</w:t>
      </w:r>
      <w:r w:rsidR="002176BC">
        <w:t>.</w:t>
      </w:r>
      <w:r w:rsidR="00151203" w:rsidRPr="00151203">
        <w:rPr>
          <w:noProof/>
        </w:rPr>
        <w:t xml:space="preserve"> </w:t>
      </w:r>
    </w:p>
    <w:p w:rsidR="00821FA1" w:rsidRDefault="00821FA1" w:rsidP="00821FA1">
      <w:pPr>
        <w:keepNext/>
        <w:jc w:val="both"/>
      </w:pPr>
      <w:r>
        <w:rPr>
          <w:noProof/>
        </w:rPr>
        <w:drawing>
          <wp:inline distT="0" distB="0" distL="0" distR="0" wp14:anchorId="1E68CEF3" wp14:editId="35D80EA7">
            <wp:extent cx="5915599" cy="2878798"/>
            <wp:effectExtent l="19050" t="19050" r="9525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927" cy="2878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5F57" w:rsidRDefault="00821FA1" w:rsidP="00821FA1">
      <w:pPr>
        <w:pStyle w:val="Caption"/>
        <w:jc w:val="both"/>
      </w:pPr>
      <w:r>
        <w:t xml:space="preserve">Figure </w:t>
      </w:r>
      <w:r w:rsidR="00AF669E">
        <w:t>2</w:t>
      </w:r>
      <w:r>
        <w:t xml:space="preserve">: Preparation of a </w:t>
      </w:r>
      <w:r w:rsidR="0069619F">
        <w:t xml:space="preserve">total </w:t>
      </w:r>
      <w:r>
        <w:t xml:space="preserve">cost surface based on the historical EIA </w:t>
      </w:r>
      <w:r w:rsidR="007E14CA">
        <w:t xml:space="preserve">(2001/2002) for the 420 kV </w:t>
      </w:r>
      <w:proofErr w:type="gramStart"/>
      <w:r w:rsidR="007E14CA">
        <w:t>power-line</w:t>
      </w:r>
      <w:proofErr w:type="gramEnd"/>
      <w:r w:rsidR="007E14CA">
        <w:t xml:space="preserve"> constructed in 2005 between Klæbu and Viklandet, central </w:t>
      </w:r>
      <w:r w:rsidR="008C30EF">
        <w:t>Norway</w:t>
      </w:r>
      <w:r w:rsidR="008C30EF" w:rsidDel="007E14CA">
        <w:t>.</w:t>
      </w:r>
    </w:p>
    <w:p w:rsidR="003309E2" w:rsidRDefault="00821FA1" w:rsidP="00533E42">
      <w:pPr>
        <w:jc w:val="both"/>
      </w:pPr>
      <w:r>
        <w:lastRenderedPageBreak/>
        <w:t>Based on the total cost surface the toolbox calculate</w:t>
      </w:r>
      <w:r w:rsidR="002176BC">
        <w:t>s</w:t>
      </w:r>
      <w:r>
        <w:t xml:space="preserve"> a </w:t>
      </w:r>
      <w:r w:rsidR="002176BC">
        <w:t>least</w:t>
      </w:r>
      <w:r w:rsidR="00AF669E">
        <w:t xml:space="preserve"> </w:t>
      </w:r>
      <w:r>
        <w:t xml:space="preserve">cost corridor (threshold at 0.5 standard deviations) and a least cost path that correlates </w:t>
      </w:r>
      <w:r w:rsidR="008A472E">
        <w:t>relatively</w:t>
      </w:r>
      <w:r>
        <w:t xml:space="preserve"> well with the existing</w:t>
      </w:r>
      <w:r w:rsidR="00533E42">
        <w:t xml:space="preserve"> power line built in 2005 (see figure </w:t>
      </w:r>
      <w:r w:rsidR="00AF669E">
        <w:t>3</w:t>
      </w:r>
      <w:r w:rsidR="00533E42">
        <w:t>).</w:t>
      </w:r>
      <w:r w:rsidR="003309E2">
        <w:t xml:space="preserve"> </w:t>
      </w:r>
      <w:r w:rsidR="002176BC">
        <w:t>When comparing</w:t>
      </w:r>
      <w:r w:rsidR="00533E42">
        <w:t xml:space="preserve"> LCP calculations </w:t>
      </w:r>
      <w:r w:rsidR="00972D2F">
        <w:t xml:space="preserve">for the individual </w:t>
      </w:r>
      <w:r w:rsidR="00533E42">
        <w:t>perspective</w:t>
      </w:r>
      <w:r w:rsidR="002176BC">
        <w:t>’s</w:t>
      </w:r>
      <w:r w:rsidR="00533E42">
        <w:t xml:space="preserve"> cost surface</w:t>
      </w:r>
      <w:r w:rsidR="002176BC">
        <w:t>,</w:t>
      </w:r>
      <w:r w:rsidR="00533E42">
        <w:t xml:space="preserve"> we can see </w:t>
      </w:r>
      <w:r w:rsidR="002176BC">
        <w:t>that</w:t>
      </w:r>
      <w:r w:rsidR="00533E42">
        <w:t xml:space="preserve"> the ecological and economic </w:t>
      </w:r>
      <w:r w:rsidR="00972D2F">
        <w:t xml:space="preserve">paths </w:t>
      </w:r>
      <w:r w:rsidR="00533E42">
        <w:t xml:space="preserve">tend to deviate </w:t>
      </w:r>
      <w:r w:rsidR="00AD3997">
        <w:t xml:space="preserve">a lot </w:t>
      </w:r>
      <w:r w:rsidR="00533E42">
        <w:t xml:space="preserve">from </w:t>
      </w:r>
      <w:r w:rsidR="00533E42" w:rsidRPr="008A472E">
        <w:t xml:space="preserve">the existing power line </w:t>
      </w:r>
      <w:r w:rsidR="00972D2F">
        <w:t>path</w:t>
      </w:r>
      <w:r w:rsidR="00533E42">
        <w:t>. The soci</w:t>
      </w:r>
      <w:r w:rsidR="002176BC">
        <w:t>et</w:t>
      </w:r>
      <w:r w:rsidR="00533E42">
        <w:t xml:space="preserve">al and technological optimal </w:t>
      </w:r>
      <w:r w:rsidR="00972D2F">
        <w:t xml:space="preserve">paths </w:t>
      </w:r>
      <w:r w:rsidR="002931F6">
        <w:t>fit much better with</w:t>
      </w:r>
      <w:r w:rsidR="00533E42">
        <w:t xml:space="preserve"> the </w:t>
      </w:r>
      <w:r w:rsidR="00533E42" w:rsidRPr="0006276D">
        <w:t xml:space="preserve">existing power line </w:t>
      </w:r>
      <w:r w:rsidR="00972D2F">
        <w:t>path</w:t>
      </w:r>
      <w:r w:rsidR="00533E42" w:rsidRPr="0006276D">
        <w:t>.</w:t>
      </w:r>
      <w:r w:rsidR="00533E42">
        <w:t xml:space="preserve"> </w:t>
      </w:r>
    </w:p>
    <w:p w:rsidR="00533E42" w:rsidRDefault="00972D2F" w:rsidP="00533E42">
      <w:pPr>
        <w:jc w:val="both"/>
      </w:pPr>
      <w:r>
        <w:t xml:space="preserve">The </w:t>
      </w:r>
      <w:r w:rsidR="006D2E60">
        <w:t xml:space="preserve">calculated </w:t>
      </w:r>
      <w:r>
        <w:t xml:space="preserve">societal and technological </w:t>
      </w:r>
      <w:r w:rsidR="006D2E60">
        <w:t xml:space="preserve">optimal </w:t>
      </w:r>
      <w:r>
        <w:t>paths</w:t>
      </w:r>
      <w:r w:rsidR="006D2E60">
        <w:t xml:space="preserve"> correlates </w:t>
      </w:r>
      <w:r w:rsidR="009208BA">
        <w:t xml:space="preserve">also </w:t>
      </w:r>
      <w:r w:rsidR="006D2E60">
        <w:t xml:space="preserve">spatially </w:t>
      </w:r>
      <w:r w:rsidR="0083375D">
        <w:t xml:space="preserve">relatively </w:t>
      </w:r>
      <w:r w:rsidR="006D2E60">
        <w:t>well with</w:t>
      </w:r>
      <w:r>
        <w:t xml:space="preserve"> the </w:t>
      </w:r>
      <w:r w:rsidR="006D2E60">
        <w:t xml:space="preserve">calculated </w:t>
      </w:r>
      <w:r w:rsidR="00A27DB8">
        <w:t xml:space="preserve">optimal </w:t>
      </w:r>
      <w:r>
        <w:t>path</w:t>
      </w:r>
      <w:r w:rsidR="0083375D">
        <w:t xml:space="preserve"> for all perspectives</w:t>
      </w:r>
      <w:r w:rsidR="006D2E60">
        <w:t xml:space="preserve">. </w:t>
      </w:r>
      <w:r w:rsidR="003309E2">
        <w:t>For this example, t</w:t>
      </w:r>
      <w:r w:rsidR="006D2E60">
        <w:t>his</w:t>
      </w:r>
      <w:r>
        <w:t xml:space="preserve"> </w:t>
      </w:r>
      <w:r w:rsidR="006D2E60">
        <w:t>is caused</w:t>
      </w:r>
      <w:r>
        <w:t xml:space="preserve"> by </w:t>
      </w:r>
      <w:r w:rsidR="006D2E60">
        <w:t xml:space="preserve">the weighted sum overlay of all perspective cost surfaces </w:t>
      </w:r>
      <w:r w:rsidR="003309E2">
        <w:t>which results in a</w:t>
      </w:r>
      <w:r w:rsidR="006D2E60">
        <w:t xml:space="preserve"> total cost surface </w:t>
      </w:r>
      <w:r w:rsidR="003309E2">
        <w:t xml:space="preserve">holding </w:t>
      </w:r>
      <w:r w:rsidR="006D2E60">
        <w:t xml:space="preserve">a relatively similar distribution of costs around the existing </w:t>
      </w:r>
      <w:r w:rsidR="006D2E60" w:rsidRPr="0006276D">
        <w:t xml:space="preserve">power line </w:t>
      </w:r>
      <w:r w:rsidR="006D2E60">
        <w:t>path</w:t>
      </w:r>
      <w:r w:rsidR="00492B64">
        <w:t xml:space="preserve"> area</w:t>
      </w:r>
      <w:r w:rsidR="006D2E60">
        <w:t xml:space="preserve"> as the cost surfaces for society and technology. Even though each perspective is weighted </w:t>
      </w:r>
      <w:r w:rsidR="009208BA">
        <w:t xml:space="preserve">equally </w:t>
      </w:r>
      <w:r w:rsidR="006D2E60">
        <w:t xml:space="preserve">by 25% the cost surfaces for society and technology have </w:t>
      </w:r>
      <w:r w:rsidR="009208BA">
        <w:t xml:space="preserve">relatively </w:t>
      </w:r>
      <w:r w:rsidR="006D2E60">
        <w:t>higher values than the cost surfaces for economy and ecology</w:t>
      </w:r>
      <w:r w:rsidR="005060E9">
        <w:t xml:space="preserve"> </w:t>
      </w:r>
      <w:r w:rsidR="00E02620">
        <w:t>(see figure 2)</w:t>
      </w:r>
      <w:r w:rsidR="006D2E60">
        <w:t xml:space="preserve">. </w:t>
      </w:r>
      <w:r w:rsidR="003309E2">
        <w:t xml:space="preserve">Given the </w:t>
      </w:r>
      <w:r w:rsidR="00CE70AF">
        <w:t xml:space="preserve">present stakeholder interests in the area, the </w:t>
      </w:r>
      <w:r w:rsidR="003309E2">
        <w:t>applied criteria definitions and values in this example</w:t>
      </w:r>
      <w:r w:rsidR="0083375D">
        <w:t xml:space="preserve"> and for this study area</w:t>
      </w:r>
      <w:r w:rsidR="003309E2">
        <w:t xml:space="preserve">, the overall effect </w:t>
      </w:r>
      <w:bookmarkStart w:id="0" w:name="_GoBack"/>
      <w:bookmarkEnd w:id="0"/>
      <w:r w:rsidR="0083375D">
        <w:t>is</w:t>
      </w:r>
      <w:r w:rsidR="003309E2">
        <w:t xml:space="preserve"> that the societal and technological values </w:t>
      </w:r>
      <w:r w:rsidR="0083375D">
        <w:t>are</w:t>
      </w:r>
      <w:r w:rsidR="003309E2">
        <w:t xml:space="preserve"> more influent on the LCP routing calculation than the ecological and economic values.</w:t>
      </w:r>
      <w:r w:rsidR="006D2E60">
        <w:t xml:space="preserve"> </w:t>
      </w:r>
    </w:p>
    <w:p w:rsidR="00310BD5" w:rsidRDefault="001B3792" w:rsidP="00310BD5">
      <w:pPr>
        <w:keepNext/>
        <w:jc w:val="both"/>
      </w:pPr>
      <w:r>
        <w:rPr>
          <w:noProof/>
        </w:rPr>
        <w:drawing>
          <wp:inline distT="0" distB="0" distL="0" distR="0" wp14:anchorId="34E2FBBC" wp14:editId="02E02E19">
            <wp:extent cx="5647486" cy="3062675"/>
            <wp:effectExtent l="19050" t="19050" r="10795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236" cy="3061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3792" w:rsidRDefault="00310BD5" w:rsidP="00310BD5">
      <w:pPr>
        <w:pStyle w:val="Caption"/>
        <w:jc w:val="both"/>
      </w:pPr>
      <w:r>
        <w:t xml:space="preserve">Figure </w:t>
      </w:r>
      <w:r w:rsidR="005A6D6E">
        <w:t>3</w:t>
      </w:r>
      <w:r>
        <w:t xml:space="preserve">: Validation </w:t>
      </w:r>
      <w:r w:rsidR="002176BC">
        <w:t xml:space="preserve">of </w:t>
      </w:r>
      <w:r>
        <w:t xml:space="preserve">the </w:t>
      </w:r>
      <w:r w:rsidR="002931F6">
        <w:t xml:space="preserve">Optipol </w:t>
      </w:r>
      <w:r>
        <w:t xml:space="preserve">LCP-toolbox </w:t>
      </w:r>
      <w:r w:rsidR="007E14CA">
        <w:t xml:space="preserve">based on </w:t>
      </w:r>
      <w:r>
        <w:t>the 420 kV power</w:t>
      </w:r>
      <w:r w:rsidR="007E14CA">
        <w:t>-</w:t>
      </w:r>
      <w:r>
        <w:t xml:space="preserve">line </w:t>
      </w:r>
      <w:r w:rsidR="007E14CA">
        <w:t xml:space="preserve">constructed </w:t>
      </w:r>
      <w:r>
        <w:t>in 2005 between Klæbu and Viklandet</w:t>
      </w:r>
      <w:r w:rsidR="007E14CA">
        <w:t>, central Norway</w:t>
      </w:r>
      <w:r>
        <w:t>.</w:t>
      </w:r>
    </w:p>
    <w:p w:rsidR="00CE50C0" w:rsidRDefault="00310BD5" w:rsidP="00C12EA5">
      <w:pPr>
        <w:jc w:val="both"/>
      </w:pPr>
      <w:r>
        <w:t xml:space="preserve">This </w:t>
      </w:r>
      <w:r w:rsidR="002176BC">
        <w:t xml:space="preserve">validation </w:t>
      </w:r>
      <w:r>
        <w:t xml:space="preserve">exercise illustrates the advantage of LCP as an effective planning tool that ensures a holistic approach </w:t>
      </w:r>
      <w:r w:rsidR="003E5C0A">
        <w:t xml:space="preserve">in </w:t>
      </w:r>
      <w:r w:rsidR="00533E42">
        <w:t>handling the multi</w:t>
      </w:r>
      <w:r w:rsidR="00C314EE">
        <w:t>-</w:t>
      </w:r>
      <w:r w:rsidR="00533E42">
        <w:t xml:space="preserve">criteria context of </w:t>
      </w:r>
      <w:r>
        <w:t xml:space="preserve">a </w:t>
      </w:r>
      <w:r w:rsidR="007E14CA">
        <w:t>power-</w:t>
      </w:r>
      <w:r>
        <w:t xml:space="preserve">line routing project. It also shows that the </w:t>
      </w:r>
      <w:r w:rsidR="002931F6">
        <w:t xml:space="preserve">Optipol </w:t>
      </w:r>
      <w:r>
        <w:t>LCP</w:t>
      </w:r>
      <w:r w:rsidR="002176BC">
        <w:t>-</w:t>
      </w:r>
      <w:r>
        <w:t xml:space="preserve">toolbox and the traditional way of power line routing in Norway </w:t>
      </w:r>
      <w:r w:rsidR="009208BA">
        <w:t xml:space="preserve">are </w:t>
      </w:r>
      <w:r>
        <w:t>comparable</w:t>
      </w:r>
      <w:r w:rsidR="00803C1C">
        <w:t xml:space="preserve">. </w:t>
      </w:r>
    </w:p>
    <w:p w:rsidR="00154226" w:rsidRDefault="005A6D6E" w:rsidP="00154226">
      <w:pPr>
        <w:jc w:val="both"/>
      </w:pPr>
      <w:r>
        <w:t>T</w:t>
      </w:r>
      <w:r w:rsidR="00154226">
        <w:t>o achieve broad stakeholder consensus about the toolbox contents with its themes, sub-themes, criteria</w:t>
      </w:r>
      <w:r>
        <w:t>,</w:t>
      </w:r>
      <w:r w:rsidR="00154226">
        <w:t xml:space="preserve"> criteria values </w:t>
      </w:r>
      <w:r w:rsidR="002176BC">
        <w:t>and weights</w:t>
      </w:r>
      <w:r w:rsidR="00154226">
        <w:t xml:space="preserve"> we have used a methodology for standardized dialog seminars. The first stakeholder dialog seminar was successfully held in Stjørdal, Norway, May 23-24th 2012. In order to reduce potential conflicts and to increase the public transparency in power line routing decision processes, the attendants at the seminar considered the </w:t>
      </w:r>
      <w:r w:rsidR="006D6347">
        <w:t xml:space="preserve">Optipol </w:t>
      </w:r>
      <w:r w:rsidR="00154226">
        <w:t xml:space="preserve">LCP-toolbox and the dialog methodology as very important tools if implemented early in a planning process. The results from the </w:t>
      </w:r>
      <w:r w:rsidR="00154226">
        <w:lastRenderedPageBreak/>
        <w:t xml:space="preserve">first dialog seminar are summarized in </w:t>
      </w:r>
      <w:hyperlink r:id="rId10" w:history="1">
        <w:r w:rsidRPr="00946D8C">
          <w:rPr>
            <w:rStyle w:val="Hyperlink"/>
          </w:rPr>
          <w:t xml:space="preserve">NINA </w:t>
        </w:r>
        <w:r w:rsidR="00154226" w:rsidRPr="00946D8C">
          <w:rPr>
            <w:rStyle w:val="Hyperlink"/>
          </w:rPr>
          <w:t>report</w:t>
        </w:r>
        <w:r w:rsidRPr="00946D8C">
          <w:rPr>
            <w:rStyle w:val="Hyperlink"/>
          </w:rPr>
          <w:t xml:space="preserve"> </w:t>
        </w:r>
        <w:r w:rsidR="00946D8C" w:rsidRPr="00946D8C">
          <w:rPr>
            <w:rStyle w:val="Hyperlink"/>
          </w:rPr>
          <w:t>856</w:t>
        </w:r>
      </w:hyperlink>
      <w:r w:rsidR="00946D8C">
        <w:t xml:space="preserve"> (OPTIPOL Least Cost Path dialog).</w:t>
      </w:r>
      <w:r w:rsidR="00154226">
        <w:t xml:space="preserve"> The </w:t>
      </w:r>
      <w:r w:rsidR="00946D8C">
        <w:t>findings from the first dialog seminar</w:t>
      </w:r>
      <w:r w:rsidR="00154226">
        <w:t xml:space="preserve"> will be implemented in version 2.0 of the </w:t>
      </w:r>
      <w:r w:rsidR="006D6347">
        <w:t xml:space="preserve">Optipol </w:t>
      </w:r>
      <w:r w:rsidR="00154226">
        <w:t xml:space="preserve">LCP-toolbox. The first seminar will be followed </w:t>
      </w:r>
      <w:r w:rsidR="002176BC">
        <w:t xml:space="preserve">up </w:t>
      </w:r>
      <w:r w:rsidR="00154226">
        <w:t xml:space="preserve">by a web-survey </w:t>
      </w:r>
      <w:r w:rsidR="002176BC">
        <w:t>for setting criteria values and weights</w:t>
      </w:r>
      <w:r w:rsidR="00154226">
        <w:t xml:space="preserve"> and a second seminar in order to consolidate </w:t>
      </w:r>
      <w:r w:rsidR="00946D8C">
        <w:t xml:space="preserve">final </w:t>
      </w:r>
      <w:r w:rsidR="00154226">
        <w:t xml:space="preserve">consensus. </w:t>
      </w:r>
      <w:r w:rsidR="002176BC">
        <w:t>The</w:t>
      </w:r>
      <w:r w:rsidR="00154226">
        <w:t xml:space="preserve"> complete toolbox will be launched in December 2013.</w:t>
      </w:r>
    </w:p>
    <w:p w:rsidR="00154226" w:rsidRDefault="00154226" w:rsidP="00154226">
      <w:pPr>
        <w:jc w:val="both"/>
      </w:pPr>
      <w:r>
        <w:t xml:space="preserve">Our belief is that the </w:t>
      </w:r>
      <w:r w:rsidR="006D6347">
        <w:t>LCP-toolbox</w:t>
      </w:r>
      <w:r>
        <w:t xml:space="preserve"> could be a very helpful planning tool in an early planning phase in order to scope EIA, to reduce conflicts and to make decision </w:t>
      </w:r>
      <w:r w:rsidR="00946D8C">
        <w:t>processes more</w:t>
      </w:r>
      <w:r>
        <w:t xml:space="preserve"> transparent to the public.</w:t>
      </w:r>
    </w:p>
    <w:p w:rsidR="00D71BD5" w:rsidRDefault="00CE50C0" w:rsidP="00C12EA5">
      <w:pPr>
        <w:jc w:val="both"/>
      </w:pPr>
      <w:r>
        <w:t>We would like to acknowledge t</w:t>
      </w:r>
      <w:r w:rsidRPr="00CE50C0">
        <w:t xml:space="preserve">he Research Council of Norway, CEDREN, </w:t>
      </w:r>
      <w:r>
        <w:t>t</w:t>
      </w:r>
      <w:r w:rsidRPr="00CE50C0">
        <w:t xml:space="preserve">he Norwegian Water Resources and Energy Directorate, </w:t>
      </w:r>
      <w:r>
        <w:t>t</w:t>
      </w:r>
      <w:r w:rsidRPr="00CE50C0">
        <w:t xml:space="preserve">he Norwegian national main grid owner Statnett, SINTEF Energy research and all </w:t>
      </w:r>
      <w:r>
        <w:t xml:space="preserve">participating </w:t>
      </w:r>
      <w:r w:rsidRPr="00CE50C0">
        <w:t>stakeholders.</w:t>
      </w:r>
    </w:p>
    <w:p w:rsidR="00CE50C0" w:rsidRDefault="0093373D" w:rsidP="00C12EA5">
      <w:pPr>
        <w:jc w:val="both"/>
      </w:pPr>
      <w:r w:rsidRPr="0093373D">
        <w:t xml:space="preserve">Read more about the project at </w:t>
      </w:r>
      <w:hyperlink r:id="rId11" w:history="1">
        <w:r w:rsidRPr="00F90D25">
          <w:rPr>
            <w:rStyle w:val="Hyperlink"/>
          </w:rPr>
          <w:t>www.nina.no/archive/nina/PppBasePdf/rapport/2011/762.pdf</w:t>
        </w:r>
      </w:hyperlink>
      <w:r>
        <w:t>.</w:t>
      </w:r>
    </w:p>
    <w:p w:rsidR="00F84689" w:rsidRDefault="00F84689" w:rsidP="00C12EA5">
      <w:pPr>
        <w:jc w:val="both"/>
      </w:pPr>
    </w:p>
    <w:p w:rsidR="00F84689" w:rsidRDefault="00F84689" w:rsidP="00074300">
      <w:pPr>
        <w:pStyle w:val="Heading2"/>
      </w:pPr>
      <w:r>
        <w:t>References</w:t>
      </w:r>
    </w:p>
    <w:p w:rsidR="00F84689" w:rsidRDefault="000241E6" w:rsidP="00C12EA5">
      <w:pPr>
        <w:jc w:val="both"/>
      </w:pPr>
      <w:r>
        <w:t>Berry, J</w:t>
      </w:r>
      <w:r w:rsidR="00376C7F">
        <w:t>. K.</w:t>
      </w:r>
      <w:r w:rsidRPr="000241E6">
        <w:t xml:space="preserve"> </w:t>
      </w:r>
      <w:r w:rsidR="00074300">
        <w:t xml:space="preserve">2007. </w:t>
      </w:r>
      <w:r w:rsidRPr="00376C7F">
        <w:rPr>
          <w:i/>
        </w:rPr>
        <w:t>Map Analysis</w:t>
      </w:r>
      <w:r w:rsidR="001618C0">
        <w:rPr>
          <w:i/>
        </w:rPr>
        <w:t>.</w:t>
      </w:r>
      <w:r>
        <w:t xml:space="preserve"> Geo Tec Media</w:t>
      </w:r>
      <w:r w:rsidR="00376C7F">
        <w:t xml:space="preserve">, </w:t>
      </w:r>
      <w:proofErr w:type="gramStart"/>
      <w:r w:rsidR="00376C7F">
        <w:t>224 p.p</w:t>
      </w:r>
      <w:proofErr w:type="gramEnd"/>
      <w:r w:rsidR="00376C7F">
        <w:t>.</w:t>
      </w:r>
    </w:p>
    <w:p w:rsidR="001618C0" w:rsidRDefault="001618C0" w:rsidP="001618C0">
      <w:pPr>
        <w:jc w:val="both"/>
      </w:pPr>
      <w:r>
        <w:t xml:space="preserve">Zadeh, L.A. 1965. "Fuzzy sets", </w:t>
      </w:r>
      <w:r w:rsidRPr="001618C0">
        <w:rPr>
          <w:i/>
        </w:rPr>
        <w:t>Information and Control</w:t>
      </w:r>
      <w:r>
        <w:t xml:space="preserve"> 8 (3): 338–353. </w:t>
      </w:r>
    </w:p>
    <w:p w:rsidR="000241E6" w:rsidRPr="00731956" w:rsidRDefault="001618C0" w:rsidP="001618C0">
      <w:pPr>
        <w:jc w:val="both"/>
      </w:pPr>
      <w:r>
        <w:t xml:space="preserve">Zadeh, L.A., </w:t>
      </w:r>
      <w:proofErr w:type="spellStart"/>
      <w:r>
        <w:t>Klir</w:t>
      </w:r>
      <w:proofErr w:type="spellEnd"/>
      <w:r>
        <w:t xml:space="preserve">, G.J. &amp; Yuan, B. (eds.) 1996. </w:t>
      </w:r>
      <w:r w:rsidRPr="001618C0">
        <w:rPr>
          <w:i/>
        </w:rPr>
        <w:t xml:space="preserve">Fuzzy Sets, Fuzzy Logic, Fuzzy Systems. </w:t>
      </w:r>
      <w:proofErr w:type="gramStart"/>
      <w:r w:rsidRPr="001618C0">
        <w:rPr>
          <w:i/>
        </w:rPr>
        <w:t>Selected papers by L.A. Zadeh</w:t>
      </w:r>
      <w:r>
        <w:t>.</w:t>
      </w:r>
      <w:proofErr w:type="gramEnd"/>
      <w:r>
        <w:t xml:space="preserve"> World Scientific Press.</w:t>
      </w:r>
    </w:p>
    <w:sectPr w:rsidR="000241E6" w:rsidRPr="007319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7C6"/>
    <w:rsid w:val="00004A48"/>
    <w:rsid w:val="000241E6"/>
    <w:rsid w:val="0003059C"/>
    <w:rsid w:val="0006276D"/>
    <w:rsid w:val="000702C8"/>
    <w:rsid w:val="00074300"/>
    <w:rsid w:val="0008301F"/>
    <w:rsid w:val="00083180"/>
    <w:rsid w:val="0008784A"/>
    <w:rsid w:val="00090B45"/>
    <w:rsid w:val="00096377"/>
    <w:rsid w:val="000C5BAF"/>
    <w:rsid w:val="000E1552"/>
    <w:rsid w:val="00132AA2"/>
    <w:rsid w:val="00151203"/>
    <w:rsid w:val="00154226"/>
    <w:rsid w:val="001618C0"/>
    <w:rsid w:val="0017483E"/>
    <w:rsid w:val="001B1D72"/>
    <w:rsid w:val="001B3792"/>
    <w:rsid w:val="001B7656"/>
    <w:rsid w:val="001D5489"/>
    <w:rsid w:val="001E1A46"/>
    <w:rsid w:val="001F3016"/>
    <w:rsid w:val="002176BC"/>
    <w:rsid w:val="00232411"/>
    <w:rsid w:val="00265F57"/>
    <w:rsid w:val="00265F59"/>
    <w:rsid w:val="00292FF1"/>
    <w:rsid w:val="002931F6"/>
    <w:rsid w:val="002C0E18"/>
    <w:rsid w:val="002E4035"/>
    <w:rsid w:val="002F17C6"/>
    <w:rsid w:val="00310BD5"/>
    <w:rsid w:val="00325AED"/>
    <w:rsid w:val="0032664A"/>
    <w:rsid w:val="003309E2"/>
    <w:rsid w:val="003360EA"/>
    <w:rsid w:val="00341A2E"/>
    <w:rsid w:val="00370531"/>
    <w:rsid w:val="00376C7F"/>
    <w:rsid w:val="003C06B3"/>
    <w:rsid w:val="003D2B55"/>
    <w:rsid w:val="003E5C0A"/>
    <w:rsid w:val="003E6210"/>
    <w:rsid w:val="0041514B"/>
    <w:rsid w:val="004766B6"/>
    <w:rsid w:val="00492B64"/>
    <w:rsid w:val="004E4236"/>
    <w:rsid w:val="00505706"/>
    <w:rsid w:val="005060E9"/>
    <w:rsid w:val="00530091"/>
    <w:rsid w:val="00533E42"/>
    <w:rsid w:val="00573B83"/>
    <w:rsid w:val="00573BAA"/>
    <w:rsid w:val="00591210"/>
    <w:rsid w:val="005A6D6E"/>
    <w:rsid w:val="005F3BF9"/>
    <w:rsid w:val="005F44EF"/>
    <w:rsid w:val="00601685"/>
    <w:rsid w:val="00615D49"/>
    <w:rsid w:val="00624847"/>
    <w:rsid w:val="00625CB9"/>
    <w:rsid w:val="0064749D"/>
    <w:rsid w:val="00671100"/>
    <w:rsid w:val="006764B2"/>
    <w:rsid w:val="0069619F"/>
    <w:rsid w:val="006D2E60"/>
    <w:rsid w:val="006D6347"/>
    <w:rsid w:val="006D7ABA"/>
    <w:rsid w:val="00707FC2"/>
    <w:rsid w:val="0071516B"/>
    <w:rsid w:val="00721CE6"/>
    <w:rsid w:val="00722C50"/>
    <w:rsid w:val="007314DA"/>
    <w:rsid w:val="00731956"/>
    <w:rsid w:val="007759F1"/>
    <w:rsid w:val="007A2773"/>
    <w:rsid w:val="007A3F11"/>
    <w:rsid w:val="007A7AEC"/>
    <w:rsid w:val="007B0D26"/>
    <w:rsid w:val="007C2820"/>
    <w:rsid w:val="007D3B77"/>
    <w:rsid w:val="007E14CA"/>
    <w:rsid w:val="007E285A"/>
    <w:rsid w:val="007F310D"/>
    <w:rsid w:val="007F7152"/>
    <w:rsid w:val="00803C1C"/>
    <w:rsid w:val="00821FA1"/>
    <w:rsid w:val="0082648D"/>
    <w:rsid w:val="0083375D"/>
    <w:rsid w:val="008503FB"/>
    <w:rsid w:val="00865A18"/>
    <w:rsid w:val="008960B7"/>
    <w:rsid w:val="008A472E"/>
    <w:rsid w:val="008B18E7"/>
    <w:rsid w:val="008C30EF"/>
    <w:rsid w:val="008F159E"/>
    <w:rsid w:val="009208BA"/>
    <w:rsid w:val="0093373D"/>
    <w:rsid w:val="009342DF"/>
    <w:rsid w:val="00934D71"/>
    <w:rsid w:val="00946D8C"/>
    <w:rsid w:val="00972D2F"/>
    <w:rsid w:val="009756B3"/>
    <w:rsid w:val="009C10B1"/>
    <w:rsid w:val="009C5DD1"/>
    <w:rsid w:val="009D0B94"/>
    <w:rsid w:val="00A05E44"/>
    <w:rsid w:val="00A11B0B"/>
    <w:rsid w:val="00A11D0E"/>
    <w:rsid w:val="00A23695"/>
    <w:rsid w:val="00A27DB8"/>
    <w:rsid w:val="00A31E76"/>
    <w:rsid w:val="00A32892"/>
    <w:rsid w:val="00A339AF"/>
    <w:rsid w:val="00A361FF"/>
    <w:rsid w:val="00A507B5"/>
    <w:rsid w:val="00A85D4C"/>
    <w:rsid w:val="00AD3997"/>
    <w:rsid w:val="00AE045A"/>
    <w:rsid w:val="00AF669E"/>
    <w:rsid w:val="00B1045F"/>
    <w:rsid w:val="00B220BB"/>
    <w:rsid w:val="00B34D39"/>
    <w:rsid w:val="00B35B8D"/>
    <w:rsid w:val="00B43EC9"/>
    <w:rsid w:val="00BC5ED6"/>
    <w:rsid w:val="00C0217F"/>
    <w:rsid w:val="00C10009"/>
    <w:rsid w:val="00C12EA5"/>
    <w:rsid w:val="00C214F5"/>
    <w:rsid w:val="00C216C3"/>
    <w:rsid w:val="00C314EE"/>
    <w:rsid w:val="00CC5705"/>
    <w:rsid w:val="00CE136E"/>
    <w:rsid w:val="00CE37D1"/>
    <w:rsid w:val="00CE50C0"/>
    <w:rsid w:val="00CE70AF"/>
    <w:rsid w:val="00D1403A"/>
    <w:rsid w:val="00D44608"/>
    <w:rsid w:val="00D71BD5"/>
    <w:rsid w:val="00D741D3"/>
    <w:rsid w:val="00DC72B4"/>
    <w:rsid w:val="00DF03E0"/>
    <w:rsid w:val="00DF1D59"/>
    <w:rsid w:val="00E02620"/>
    <w:rsid w:val="00E523C5"/>
    <w:rsid w:val="00E57275"/>
    <w:rsid w:val="00EE2688"/>
    <w:rsid w:val="00EF282E"/>
    <w:rsid w:val="00F12EA3"/>
    <w:rsid w:val="00F81F44"/>
    <w:rsid w:val="00F82D55"/>
    <w:rsid w:val="00F84689"/>
    <w:rsid w:val="00FD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7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5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7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7E285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0305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A3289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89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3195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20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20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20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0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0B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37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6D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7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5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7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7E285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0305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A3289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89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3195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20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20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20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0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0B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37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6D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hyperlink" Target="http://www.nina.no/archive/nina/PppBasePdf/rapport/2011/762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ina.no/Publikasjoner/Publikasjonslisteforansatt.aspx?ansattid=1401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nina.no\dfsroot\Prosjekter\OPTIPOL\LCP\Kl&#230;bu-%20Viklandet\Pilotstudie\FuzzyLogic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2"/>
          <c:order val="0"/>
          <c:tx>
            <c:v>Parabolic</c:v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FuzzyLogic!$B$4:$B$104</c:f>
              <c:numCache>
                <c:formatCode>General</c:formatCode>
                <c:ptCount val="10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</c:numCache>
            </c:numRef>
          </c:xVal>
          <c:yVal>
            <c:numRef>
              <c:f>FuzzyLogic!$D$4:$D$104</c:f>
              <c:numCache>
                <c:formatCode>General</c:formatCode>
                <c:ptCount val="101"/>
                <c:pt idx="0">
                  <c:v>-1</c:v>
                </c:pt>
                <c:pt idx="1">
                  <c:v>-1</c:v>
                </c:pt>
                <c:pt idx="2">
                  <c:v>-1</c:v>
                </c:pt>
                <c:pt idx="3">
                  <c:v>-1</c:v>
                </c:pt>
                <c:pt idx="4">
                  <c:v>-1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-1</c:v>
                </c:pt>
                <c:pt idx="13">
                  <c:v>-1</c:v>
                </c:pt>
                <c:pt idx="14">
                  <c:v>-1</c:v>
                </c:pt>
                <c:pt idx="15">
                  <c:v>-1</c:v>
                </c:pt>
                <c:pt idx="16">
                  <c:v>-1</c:v>
                </c:pt>
                <c:pt idx="17">
                  <c:v>-1</c:v>
                </c:pt>
                <c:pt idx="18">
                  <c:v>-1</c:v>
                </c:pt>
                <c:pt idx="19">
                  <c:v>-1</c:v>
                </c:pt>
                <c:pt idx="20">
                  <c:v>-1</c:v>
                </c:pt>
                <c:pt idx="21">
                  <c:v>-1</c:v>
                </c:pt>
                <c:pt idx="22">
                  <c:v>-1</c:v>
                </c:pt>
                <c:pt idx="23">
                  <c:v>-1</c:v>
                </c:pt>
                <c:pt idx="24">
                  <c:v>-1</c:v>
                </c:pt>
                <c:pt idx="25">
                  <c:v>-1</c:v>
                </c:pt>
                <c:pt idx="26">
                  <c:v>-1</c:v>
                </c:pt>
                <c:pt idx="27">
                  <c:v>-1</c:v>
                </c:pt>
                <c:pt idx="28">
                  <c:v>-1</c:v>
                </c:pt>
                <c:pt idx="29">
                  <c:v>-1</c:v>
                </c:pt>
                <c:pt idx="30">
                  <c:v>-1</c:v>
                </c:pt>
                <c:pt idx="31">
                  <c:v>-1</c:v>
                </c:pt>
                <c:pt idx="32">
                  <c:v>-1</c:v>
                </c:pt>
                <c:pt idx="33">
                  <c:v>-1</c:v>
                </c:pt>
                <c:pt idx="34">
                  <c:v>-1</c:v>
                </c:pt>
                <c:pt idx="35">
                  <c:v>-1</c:v>
                </c:pt>
                <c:pt idx="36">
                  <c:v>-1</c:v>
                </c:pt>
                <c:pt idx="37">
                  <c:v>-1</c:v>
                </c:pt>
                <c:pt idx="38">
                  <c:v>-1</c:v>
                </c:pt>
                <c:pt idx="39">
                  <c:v>-1</c:v>
                </c:pt>
                <c:pt idx="40">
                  <c:v>-1</c:v>
                </c:pt>
                <c:pt idx="41">
                  <c:v>-1</c:v>
                </c:pt>
                <c:pt idx="42">
                  <c:v>-1</c:v>
                </c:pt>
                <c:pt idx="43">
                  <c:v>-1</c:v>
                </c:pt>
                <c:pt idx="44">
                  <c:v>-1</c:v>
                </c:pt>
                <c:pt idx="45">
                  <c:v>-1</c:v>
                </c:pt>
                <c:pt idx="46">
                  <c:v>-1</c:v>
                </c:pt>
                <c:pt idx="47">
                  <c:v>-1</c:v>
                </c:pt>
                <c:pt idx="48">
                  <c:v>-1</c:v>
                </c:pt>
                <c:pt idx="49">
                  <c:v>-1</c:v>
                </c:pt>
                <c:pt idx="50">
                  <c:v>-1</c:v>
                </c:pt>
                <c:pt idx="51">
                  <c:v>-1</c:v>
                </c:pt>
                <c:pt idx="52">
                  <c:v>-1</c:v>
                </c:pt>
                <c:pt idx="53">
                  <c:v>-1</c:v>
                </c:pt>
                <c:pt idx="54">
                  <c:v>-1</c:v>
                </c:pt>
                <c:pt idx="55">
                  <c:v>-1</c:v>
                </c:pt>
                <c:pt idx="56">
                  <c:v>-1</c:v>
                </c:pt>
                <c:pt idx="57">
                  <c:v>-1</c:v>
                </c:pt>
                <c:pt idx="58">
                  <c:v>-1</c:v>
                </c:pt>
                <c:pt idx="59">
                  <c:v>-1</c:v>
                </c:pt>
                <c:pt idx="60">
                  <c:v>-1</c:v>
                </c:pt>
                <c:pt idx="61">
                  <c:v>-1</c:v>
                </c:pt>
                <c:pt idx="62">
                  <c:v>-1</c:v>
                </c:pt>
                <c:pt idx="63">
                  <c:v>-1</c:v>
                </c:pt>
                <c:pt idx="64">
                  <c:v>-1</c:v>
                </c:pt>
                <c:pt idx="65">
                  <c:v>-1</c:v>
                </c:pt>
                <c:pt idx="66">
                  <c:v>-1</c:v>
                </c:pt>
                <c:pt idx="67">
                  <c:v>-1</c:v>
                </c:pt>
                <c:pt idx="68">
                  <c:v>-1</c:v>
                </c:pt>
                <c:pt idx="69">
                  <c:v>-1</c:v>
                </c:pt>
                <c:pt idx="70">
                  <c:v>-1</c:v>
                </c:pt>
                <c:pt idx="71">
                  <c:v>-1</c:v>
                </c:pt>
                <c:pt idx="72">
                  <c:v>-1</c:v>
                </c:pt>
                <c:pt idx="73">
                  <c:v>-1</c:v>
                </c:pt>
                <c:pt idx="74">
                  <c:v>-1</c:v>
                </c:pt>
                <c:pt idx="75">
                  <c:v>-1</c:v>
                </c:pt>
                <c:pt idx="76">
                  <c:v>-1</c:v>
                </c:pt>
                <c:pt idx="77">
                  <c:v>-1</c:v>
                </c:pt>
                <c:pt idx="78">
                  <c:v>-1</c:v>
                </c:pt>
                <c:pt idx="79">
                  <c:v>-1</c:v>
                </c:pt>
                <c:pt idx="80">
                  <c:v>-1</c:v>
                </c:pt>
                <c:pt idx="81">
                  <c:v>-1</c:v>
                </c:pt>
                <c:pt idx="82">
                  <c:v>-1</c:v>
                </c:pt>
                <c:pt idx="83">
                  <c:v>-1</c:v>
                </c:pt>
                <c:pt idx="84">
                  <c:v>-1</c:v>
                </c:pt>
                <c:pt idx="85">
                  <c:v>-1</c:v>
                </c:pt>
                <c:pt idx="86">
                  <c:v>-1</c:v>
                </c:pt>
                <c:pt idx="87">
                  <c:v>-1</c:v>
                </c:pt>
                <c:pt idx="88">
                  <c:v>-1</c:v>
                </c:pt>
                <c:pt idx="89">
                  <c:v>-1</c:v>
                </c:pt>
                <c:pt idx="90">
                  <c:v>-1</c:v>
                </c:pt>
                <c:pt idx="91">
                  <c:v>-1</c:v>
                </c:pt>
                <c:pt idx="92">
                  <c:v>-1</c:v>
                </c:pt>
                <c:pt idx="93">
                  <c:v>-1</c:v>
                </c:pt>
                <c:pt idx="94">
                  <c:v>-1</c:v>
                </c:pt>
                <c:pt idx="95">
                  <c:v>-1</c:v>
                </c:pt>
                <c:pt idx="96">
                  <c:v>-1</c:v>
                </c:pt>
                <c:pt idx="97">
                  <c:v>-1</c:v>
                </c:pt>
                <c:pt idx="98">
                  <c:v>-1</c:v>
                </c:pt>
                <c:pt idx="99">
                  <c:v>-1</c:v>
                </c:pt>
                <c:pt idx="100">
                  <c:v>-1</c:v>
                </c:pt>
              </c:numCache>
            </c:numRef>
          </c:yVal>
          <c:smooth val="1"/>
        </c:ser>
        <c:ser>
          <c:idx val="3"/>
          <c:order val="1"/>
          <c:tx>
            <c:v>Sigmoid</c:v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FuzzyLogic!$B$4:$B$104</c:f>
              <c:numCache>
                <c:formatCode>General</c:formatCode>
                <c:ptCount val="10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</c:numCache>
            </c:numRef>
          </c:xVal>
          <c:yVal>
            <c:numRef>
              <c:f>FuzzyLogic!$E$4:$E$104</c:f>
              <c:numCache>
                <c:formatCode>General</c:formatCode>
                <c:ptCount val="101"/>
                <c:pt idx="0">
                  <c:v>5.000000000000001E-2</c:v>
                </c:pt>
                <c:pt idx="1">
                  <c:v>5.9501331476651834E-2</c:v>
                </c:pt>
                <c:pt idx="2">
                  <c:v>7.0673850990135956E-2</c:v>
                </c:pt>
                <c:pt idx="3">
                  <c:v>8.3757398556203094E-2</c:v>
                </c:pt>
                <c:pt idx="4">
                  <c:v>9.9005010697117077E-2</c:v>
                </c:pt>
                <c:pt idx="5">
                  <c:v>0.11667490789280788</c:v>
                </c:pt>
                <c:pt idx="6">
                  <c:v>0.13701884749929788</c:v>
                </c:pt>
                <c:pt idx="7">
                  <c:v>0.16026644605912463</c:v>
                </c:pt>
                <c:pt idx="8">
                  <c:v>0.18660549686337077</c:v>
                </c:pt>
                <c:pt idx="9">
                  <c:v>0.21615898174791631</c:v>
                </c:pt>
                <c:pt idx="10">
                  <c:v>0.24896038414562183</c:v>
                </c:pt>
                <c:pt idx="11">
                  <c:v>0.28492994355142148</c:v>
                </c:pt>
                <c:pt idx="12">
                  <c:v>0.32385542054539385</c:v>
                </c:pt>
                <c:pt idx="13">
                  <c:v>0.36538143255538941</c:v>
                </c:pt>
                <c:pt idx="14">
                  <c:v>0.40901111645375338</c:v>
                </c:pt>
                <c:pt idx="15">
                  <c:v>0.45412254213386472</c:v>
                </c:pt>
                <c:pt idx="16">
                  <c:v>0.5</c:v>
                </c:pt>
                <c:pt idx="17">
                  <c:v>0.5458774578661354</c:v>
                </c:pt>
                <c:pt idx="18">
                  <c:v>0.59098888354624657</c:v>
                </c:pt>
                <c:pt idx="19">
                  <c:v>0.63461856744461054</c:v>
                </c:pt>
                <c:pt idx="20">
                  <c:v>0.67614457945460615</c:v>
                </c:pt>
                <c:pt idx="21">
                  <c:v>0.71507005644857857</c:v>
                </c:pt>
                <c:pt idx="22">
                  <c:v>0.75103961585437817</c:v>
                </c:pt>
                <c:pt idx="23">
                  <c:v>0.78384101825208374</c:v>
                </c:pt>
                <c:pt idx="24">
                  <c:v>0.8133945031366292</c:v>
                </c:pt>
                <c:pt idx="25">
                  <c:v>0.83973355394087545</c:v>
                </c:pt>
                <c:pt idx="26">
                  <c:v>0.86298115250070206</c:v>
                </c:pt>
                <c:pt idx="27">
                  <c:v>0.88332509210719212</c:v>
                </c:pt>
                <c:pt idx="28">
                  <c:v>0.90099498930288291</c:v>
                </c:pt>
                <c:pt idx="29">
                  <c:v>0.91624260144379699</c:v>
                </c:pt>
                <c:pt idx="30">
                  <c:v>0.92932614900986399</c:v>
                </c:pt>
                <c:pt idx="31">
                  <c:v>0.94049866852334818</c:v>
                </c:pt>
                <c:pt idx="32">
                  <c:v>0.95000000000000007</c:v>
                </c:pt>
                <c:pt idx="33">
                  <c:v>0.95805180368298337</c:v>
                </c:pt>
                <c:pt idx="34">
                  <c:v>0.96485494510701619</c:v>
                </c:pt>
                <c:pt idx="35">
                  <c:v>0.97058862713214988</c:v>
                </c:pt>
                <c:pt idx="36">
                  <c:v>0.97541073597338135</c:v>
                </c:pt>
                <c:pt idx="37">
                  <c:v>0.9794589732525949</c:v>
                </c:pt>
                <c:pt idx="38">
                  <c:v>0.98285244823824369</c:v>
                </c:pt>
                <c:pt idx="39">
                  <c:v>0.98569349376200743</c:v>
                </c:pt>
                <c:pt idx="40">
                  <c:v>0.98806954215117049</c:v>
                </c:pt>
                <c:pt idx="41">
                  <c:v>0.99005495392126774</c:v>
                </c:pt>
                <c:pt idx="42">
                  <c:v>0.99171273382147807</c:v>
                </c:pt>
                <c:pt idx="43">
                  <c:v>0.99309609869634197</c:v>
                </c:pt>
                <c:pt idx="44">
                  <c:v>0.99424988213991772</c:v>
                </c:pt>
                <c:pt idx="45">
                  <c:v>0.99521177440483555</c:v>
                </c:pt>
                <c:pt idx="46">
                  <c:v>0.99601340441516273</c:v>
                </c:pt>
                <c:pt idx="47">
                  <c:v>0.99668127553041841</c:v>
                </c:pt>
                <c:pt idx="48">
                  <c:v>0.99723756906077354</c:v>
                </c:pt>
                <c:pt idx="49">
                  <c:v>0.99770083027742007</c:v>
                </c:pt>
                <c:pt idx="50">
                  <c:v>0.99808655139442171</c:v>
                </c:pt>
                <c:pt idx="51">
                  <c:v>0.99840766513430379</c:v>
                </c:pt>
                <c:pt idx="52">
                  <c:v>0.99867496131064082</c:v>
                </c:pt>
                <c:pt idx="53">
                  <c:v>0.99889743755196592</c:v>
                </c:pt>
                <c:pt idx="54">
                  <c:v>0.9990825939697483</c:v>
                </c:pt>
                <c:pt idx="55">
                  <c:v>0.99923668030944979</c:v>
                </c:pt>
                <c:pt idx="56">
                  <c:v>0.99936490295674152</c:v>
                </c:pt>
                <c:pt idx="57">
                  <c:v>0.99947159811906816</c:v>
                </c:pt>
                <c:pt idx="58">
                  <c:v>0.99956037657087993</c:v>
                </c:pt>
                <c:pt idx="59">
                  <c:v>0.99963424453595218</c:v>
                </c:pt>
                <c:pt idx="60">
                  <c:v>0.99969570457462276</c:v>
                </c:pt>
                <c:pt idx="61">
                  <c:v>0.99974683973751388</c:v>
                </c:pt>
                <c:pt idx="62">
                  <c:v>0.99978938372953019</c:v>
                </c:pt>
                <c:pt idx="63">
                  <c:v>0.99982477938787495</c:v>
                </c:pt>
                <c:pt idx="64">
                  <c:v>0.99985422740524788</c:v>
                </c:pt>
                <c:pt idx="65">
                  <c:v>0.99987872691495383</c:v>
                </c:pt>
                <c:pt idx="66">
                  <c:v>0.99989910928994896</c:v>
                </c:pt>
                <c:pt idx="67">
                  <c:v>0.99991606628546648</c:v>
                </c:pt>
                <c:pt idx="68">
                  <c:v>0.99993017346838065</c:v>
                </c:pt>
                <c:pt idx="69">
                  <c:v>0.99994190972026675</c:v>
                </c:pt>
                <c:pt idx="70">
                  <c:v>0.99995167347046598</c:v>
                </c:pt>
                <c:pt idx="71">
                  <c:v>0.99995979620627351</c:v>
                </c:pt>
                <c:pt idx="72">
                  <c:v>0.99996655371617349</c:v>
                </c:pt>
                <c:pt idx="73">
                  <c:v>0.9999721754459594</c:v>
                </c:pt>
                <c:pt idx="74">
                  <c:v>0.99997685228409861</c:v>
                </c:pt>
                <c:pt idx="75">
                  <c:v>0.99998074303978213</c:v>
                </c:pt>
                <c:pt idx="76">
                  <c:v>0.99998397983300413</c:v>
                </c:pt>
                <c:pt idx="77">
                  <c:v>0.99998667257926288</c:v>
                </c:pt>
                <c:pt idx="78">
                  <c:v>0.99998891272087509</c:v>
                </c:pt>
                <c:pt idx="79">
                  <c:v>0.99999077633140487</c:v>
                </c:pt>
                <c:pt idx="80">
                  <c:v>0.99999232669848537</c:v>
                </c:pt>
                <c:pt idx="81">
                  <c:v>0.99999361647264495</c:v>
                </c:pt>
                <c:pt idx="82">
                  <c:v>0.99999468945504344</c:v>
                </c:pt>
                <c:pt idx="83">
                  <c:v>0.99999558208478156</c:v>
                </c:pt>
                <c:pt idx="84">
                  <c:v>0.99999632467626043</c:v>
                </c:pt>
                <c:pt idx="85">
                  <c:v>0.99999694244859028</c:v>
                </c:pt>
                <c:pt idx="86">
                  <c:v>0.999997456381991</c:v>
                </c:pt>
                <c:pt idx="87">
                  <c:v>0.99999788393026012</c:v>
                </c:pt>
                <c:pt idx="88">
                  <c:v>0.99999823961349266</c:v>
                </c:pt>
                <c:pt idx="89">
                  <c:v>0.99999853551118334</c:v>
                </c:pt>
                <c:pt idx="90">
                  <c:v>0.99999878167244582</c:v>
                </c:pt>
                <c:pt idx="91">
                  <c:v>0.99999898645728746</c:v>
                </c:pt>
                <c:pt idx="92">
                  <c:v>0.9999991568205191</c:v>
                </c:pt>
                <c:pt idx="93">
                  <c:v>0.99999929854794689</c:v>
                </c:pt>
                <c:pt idx="94">
                  <c:v>0.99999941645286394</c:v>
                </c:pt>
                <c:pt idx="95">
                  <c:v>0.99999951453951608</c:v>
                </c:pt>
                <c:pt idx="96">
                  <c:v>0.99999959613908962</c:v>
                </c:pt>
                <c:pt idx="97">
                  <c:v>0.99999966402284424</c:v>
                </c:pt>
                <c:pt idx="98">
                  <c:v>0.99999972049622765</c:v>
                </c:pt>
                <c:pt idx="99">
                  <c:v>0.99999976747717312</c:v>
                </c:pt>
                <c:pt idx="100">
                  <c:v>0.99999980656123488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558336"/>
        <c:axId val="38576896"/>
      </c:scatterChart>
      <c:scatterChart>
        <c:scatterStyle val="lineMarker"/>
        <c:varyColors val="0"/>
        <c:ser>
          <c:idx val="0"/>
          <c:order val="2"/>
          <c:tx>
            <c:strRef>
              <c:f>FuzzyLogic!$P$4</c:f>
              <c:strCache>
                <c:ptCount val="1"/>
                <c:pt idx="0">
                  <c:v>Dårlig:</c:v>
                </c:pt>
              </c:strCache>
            </c:strRef>
          </c:tx>
          <c:spPr>
            <a:ln w="6350">
              <a:solidFill>
                <a:prstClr val="black">
                  <a:lumMod val="50000"/>
                  <a:lumOff val="50000"/>
                </a:prstClr>
              </a:solidFill>
              <a:prstDash val="dash"/>
            </a:ln>
          </c:spPr>
          <c:marker>
            <c:symbol val="none"/>
          </c:marker>
          <c:xVal>
            <c:numRef>
              <c:f>FuzzyLogic!$B$4:$B$104</c:f>
              <c:numCache>
                <c:formatCode>General</c:formatCode>
                <c:ptCount val="10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</c:numCache>
            </c:numRef>
          </c:xVal>
          <c:yVal>
            <c:numRef>
              <c:f>FuzzyLogic!$G$4:$G$104</c:f>
              <c:numCache>
                <c:formatCode>0.000</c:formatCode>
                <c:ptCount val="101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  <c:pt idx="19">
                  <c:v>0.05</c:v>
                </c:pt>
                <c:pt idx="20">
                  <c:v>0.05</c:v>
                </c:pt>
                <c:pt idx="21">
                  <c:v>0.05</c:v>
                </c:pt>
                <c:pt idx="22">
                  <c:v>0.05</c:v>
                </c:pt>
                <c:pt idx="23">
                  <c:v>0.05</c:v>
                </c:pt>
                <c:pt idx="24">
                  <c:v>0.05</c:v>
                </c:pt>
                <c:pt idx="25">
                  <c:v>0.05</c:v>
                </c:pt>
                <c:pt idx="26">
                  <c:v>0.05</c:v>
                </c:pt>
                <c:pt idx="27">
                  <c:v>0.05</c:v>
                </c:pt>
                <c:pt idx="28">
                  <c:v>0.05</c:v>
                </c:pt>
                <c:pt idx="29">
                  <c:v>0.05</c:v>
                </c:pt>
                <c:pt idx="30">
                  <c:v>0.05</c:v>
                </c:pt>
                <c:pt idx="31">
                  <c:v>0.05</c:v>
                </c:pt>
                <c:pt idx="32">
                  <c:v>0.05</c:v>
                </c:pt>
                <c:pt idx="33">
                  <c:v>0.05</c:v>
                </c:pt>
                <c:pt idx="34">
                  <c:v>0.05</c:v>
                </c:pt>
                <c:pt idx="35">
                  <c:v>0.05</c:v>
                </c:pt>
                <c:pt idx="36">
                  <c:v>0.05</c:v>
                </c:pt>
                <c:pt idx="37">
                  <c:v>0.05</c:v>
                </c:pt>
                <c:pt idx="38">
                  <c:v>0.05</c:v>
                </c:pt>
                <c:pt idx="39">
                  <c:v>0.05</c:v>
                </c:pt>
                <c:pt idx="40">
                  <c:v>0.05</c:v>
                </c:pt>
                <c:pt idx="41">
                  <c:v>0.05</c:v>
                </c:pt>
                <c:pt idx="42">
                  <c:v>0.05</c:v>
                </c:pt>
                <c:pt idx="43">
                  <c:v>0.05</c:v>
                </c:pt>
                <c:pt idx="44">
                  <c:v>0.05</c:v>
                </c:pt>
                <c:pt idx="45">
                  <c:v>0.05</c:v>
                </c:pt>
                <c:pt idx="46">
                  <c:v>0.05</c:v>
                </c:pt>
                <c:pt idx="47">
                  <c:v>0.05</c:v>
                </c:pt>
                <c:pt idx="48">
                  <c:v>0.05</c:v>
                </c:pt>
                <c:pt idx="49">
                  <c:v>0.05</c:v>
                </c:pt>
                <c:pt idx="50">
                  <c:v>0.05</c:v>
                </c:pt>
                <c:pt idx="51">
                  <c:v>0.05</c:v>
                </c:pt>
                <c:pt idx="52">
                  <c:v>0.05</c:v>
                </c:pt>
                <c:pt idx="53">
                  <c:v>0.05</c:v>
                </c:pt>
                <c:pt idx="54">
                  <c:v>0.05</c:v>
                </c:pt>
                <c:pt idx="55">
                  <c:v>0.05</c:v>
                </c:pt>
                <c:pt idx="56">
                  <c:v>0.05</c:v>
                </c:pt>
                <c:pt idx="57">
                  <c:v>0.05</c:v>
                </c:pt>
                <c:pt idx="58">
                  <c:v>0.05</c:v>
                </c:pt>
                <c:pt idx="59">
                  <c:v>0.05</c:v>
                </c:pt>
                <c:pt idx="60">
                  <c:v>0.05</c:v>
                </c:pt>
                <c:pt idx="61">
                  <c:v>0.05</c:v>
                </c:pt>
                <c:pt idx="62">
                  <c:v>0.05</c:v>
                </c:pt>
                <c:pt idx="63">
                  <c:v>0.05</c:v>
                </c:pt>
                <c:pt idx="64">
                  <c:v>0.05</c:v>
                </c:pt>
                <c:pt idx="65">
                  <c:v>0.05</c:v>
                </c:pt>
                <c:pt idx="66">
                  <c:v>0.05</c:v>
                </c:pt>
                <c:pt idx="67">
                  <c:v>0.05</c:v>
                </c:pt>
                <c:pt idx="68">
                  <c:v>0.05</c:v>
                </c:pt>
                <c:pt idx="69">
                  <c:v>0.05</c:v>
                </c:pt>
                <c:pt idx="70">
                  <c:v>0.05</c:v>
                </c:pt>
                <c:pt idx="71">
                  <c:v>0.05</c:v>
                </c:pt>
                <c:pt idx="72">
                  <c:v>0.05</c:v>
                </c:pt>
                <c:pt idx="73">
                  <c:v>0.05</c:v>
                </c:pt>
                <c:pt idx="74">
                  <c:v>0.05</c:v>
                </c:pt>
                <c:pt idx="75">
                  <c:v>0.05</c:v>
                </c:pt>
                <c:pt idx="76">
                  <c:v>0.05</c:v>
                </c:pt>
                <c:pt idx="77">
                  <c:v>0.05</c:v>
                </c:pt>
                <c:pt idx="78">
                  <c:v>0.05</c:v>
                </c:pt>
                <c:pt idx="79">
                  <c:v>0.05</c:v>
                </c:pt>
                <c:pt idx="80">
                  <c:v>0.05</c:v>
                </c:pt>
                <c:pt idx="81">
                  <c:v>0.05</c:v>
                </c:pt>
                <c:pt idx="82">
                  <c:v>0.05</c:v>
                </c:pt>
                <c:pt idx="83">
                  <c:v>0.05</c:v>
                </c:pt>
                <c:pt idx="84">
                  <c:v>0.05</c:v>
                </c:pt>
                <c:pt idx="85">
                  <c:v>0.05</c:v>
                </c:pt>
                <c:pt idx="86">
                  <c:v>0.05</c:v>
                </c:pt>
                <c:pt idx="87">
                  <c:v>0.05</c:v>
                </c:pt>
                <c:pt idx="88">
                  <c:v>0.05</c:v>
                </c:pt>
                <c:pt idx="89">
                  <c:v>0.05</c:v>
                </c:pt>
                <c:pt idx="90">
                  <c:v>0.05</c:v>
                </c:pt>
                <c:pt idx="91">
                  <c:v>0.05</c:v>
                </c:pt>
                <c:pt idx="92">
                  <c:v>0.05</c:v>
                </c:pt>
                <c:pt idx="93">
                  <c:v>0.05</c:v>
                </c:pt>
                <c:pt idx="94">
                  <c:v>0.05</c:v>
                </c:pt>
                <c:pt idx="95">
                  <c:v>0.05</c:v>
                </c:pt>
                <c:pt idx="96">
                  <c:v>0.05</c:v>
                </c:pt>
                <c:pt idx="97">
                  <c:v>0.05</c:v>
                </c:pt>
                <c:pt idx="98">
                  <c:v>0.05</c:v>
                </c:pt>
                <c:pt idx="99">
                  <c:v>0.05</c:v>
                </c:pt>
                <c:pt idx="100">
                  <c:v>0.05</c:v>
                </c:pt>
              </c:numCache>
            </c:numRef>
          </c:yVal>
          <c:smooth val="0"/>
        </c:ser>
        <c:ser>
          <c:idx val="4"/>
          <c:order val="3"/>
          <c:tx>
            <c:strRef>
              <c:f>FuzzyLogic!$P$6</c:f>
              <c:strCache>
                <c:ptCount val="1"/>
                <c:pt idx="0">
                  <c:v>God:</c:v>
                </c:pt>
              </c:strCache>
            </c:strRef>
          </c:tx>
          <c:spPr>
            <a:ln w="6350">
              <a:solidFill>
                <a:schemeClr val="tx1">
                  <a:lumMod val="50000"/>
                  <a:lumOff val="50000"/>
                </a:schemeClr>
              </a:solidFill>
              <a:prstDash val="dash"/>
            </a:ln>
          </c:spPr>
          <c:marker>
            <c:symbol val="none"/>
          </c:marker>
          <c:xVal>
            <c:numRef>
              <c:f>FuzzyLogic!$B$4:$B$104</c:f>
              <c:numCache>
                <c:formatCode>General</c:formatCode>
                <c:ptCount val="10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</c:numCache>
            </c:numRef>
          </c:xVal>
          <c:yVal>
            <c:numRef>
              <c:f>FuzzyLogic!$H$4:$H$104</c:f>
              <c:numCache>
                <c:formatCode>0.000</c:formatCode>
                <c:ptCount val="101"/>
                <c:pt idx="0">
                  <c:v>0.95</c:v>
                </c:pt>
                <c:pt idx="1">
                  <c:v>0.95</c:v>
                </c:pt>
                <c:pt idx="2">
                  <c:v>0.95</c:v>
                </c:pt>
                <c:pt idx="3">
                  <c:v>0.95</c:v>
                </c:pt>
                <c:pt idx="4">
                  <c:v>0.95</c:v>
                </c:pt>
                <c:pt idx="5">
                  <c:v>0.95</c:v>
                </c:pt>
                <c:pt idx="6">
                  <c:v>0.95</c:v>
                </c:pt>
                <c:pt idx="7">
                  <c:v>0.95</c:v>
                </c:pt>
                <c:pt idx="8">
                  <c:v>0.95</c:v>
                </c:pt>
                <c:pt idx="9">
                  <c:v>0.95</c:v>
                </c:pt>
                <c:pt idx="10">
                  <c:v>0.95</c:v>
                </c:pt>
                <c:pt idx="11">
                  <c:v>0.95</c:v>
                </c:pt>
                <c:pt idx="12">
                  <c:v>0.95</c:v>
                </c:pt>
                <c:pt idx="13">
                  <c:v>0.95</c:v>
                </c:pt>
                <c:pt idx="14">
                  <c:v>0.95</c:v>
                </c:pt>
                <c:pt idx="15">
                  <c:v>0.95</c:v>
                </c:pt>
                <c:pt idx="16">
                  <c:v>0.95</c:v>
                </c:pt>
                <c:pt idx="17">
                  <c:v>0.95</c:v>
                </c:pt>
                <c:pt idx="18">
                  <c:v>0.95</c:v>
                </c:pt>
                <c:pt idx="19">
                  <c:v>0.95</c:v>
                </c:pt>
                <c:pt idx="20">
                  <c:v>0.95</c:v>
                </c:pt>
                <c:pt idx="21">
                  <c:v>0.95</c:v>
                </c:pt>
                <c:pt idx="22">
                  <c:v>0.95</c:v>
                </c:pt>
                <c:pt idx="23">
                  <c:v>0.95</c:v>
                </c:pt>
                <c:pt idx="24">
                  <c:v>0.95</c:v>
                </c:pt>
                <c:pt idx="25">
                  <c:v>0.95</c:v>
                </c:pt>
                <c:pt idx="26">
                  <c:v>0.95</c:v>
                </c:pt>
                <c:pt idx="27">
                  <c:v>0.95</c:v>
                </c:pt>
                <c:pt idx="28">
                  <c:v>0.95</c:v>
                </c:pt>
                <c:pt idx="29">
                  <c:v>0.95</c:v>
                </c:pt>
                <c:pt idx="30">
                  <c:v>0.95</c:v>
                </c:pt>
                <c:pt idx="31">
                  <c:v>0.95</c:v>
                </c:pt>
                <c:pt idx="32">
                  <c:v>0.95</c:v>
                </c:pt>
                <c:pt idx="33">
                  <c:v>0.95</c:v>
                </c:pt>
                <c:pt idx="34">
                  <c:v>0.95</c:v>
                </c:pt>
                <c:pt idx="35">
                  <c:v>0.95</c:v>
                </c:pt>
                <c:pt idx="36">
                  <c:v>0.95</c:v>
                </c:pt>
                <c:pt idx="37">
                  <c:v>0.95</c:v>
                </c:pt>
                <c:pt idx="38">
                  <c:v>0.95</c:v>
                </c:pt>
                <c:pt idx="39">
                  <c:v>0.95</c:v>
                </c:pt>
                <c:pt idx="40">
                  <c:v>0.95</c:v>
                </c:pt>
                <c:pt idx="41">
                  <c:v>0.95</c:v>
                </c:pt>
                <c:pt idx="42">
                  <c:v>0.95</c:v>
                </c:pt>
                <c:pt idx="43">
                  <c:v>0.95</c:v>
                </c:pt>
                <c:pt idx="44">
                  <c:v>0.95</c:v>
                </c:pt>
                <c:pt idx="45">
                  <c:v>0.95</c:v>
                </c:pt>
                <c:pt idx="46">
                  <c:v>0.95</c:v>
                </c:pt>
                <c:pt idx="47">
                  <c:v>0.95</c:v>
                </c:pt>
                <c:pt idx="48">
                  <c:v>0.95</c:v>
                </c:pt>
                <c:pt idx="49">
                  <c:v>0.95</c:v>
                </c:pt>
                <c:pt idx="50">
                  <c:v>0.95</c:v>
                </c:pt>
                <c:pt idx="51">
                  <c:v>0.95</c:v>
                </c:pt>
                <c:pt idx="52">
                  <c:v>0.95</c:v>
                </c:pt>
                <c:pt idx="53">
                  <c:v>0.95</c:v>
                </c:pt>
                <c:pt idx="54">
                  <c:v>0.95</c:v>
                </c:pt>
                <c:pt idx="55">
                  <c:v>0.95</c:v>
                </c:pt>
                <c:pt idx="56">
                  <c:v>0.95</c:v>
                </c:pt>
                <c:pt idx="57">
                  <c:v>0.95</c:v>
                </c:pt>
                <c:pt idx="58">
                  <c:v>0.95</c:v>
                </c:pt>
                <c:pt idx="59">
                  <c:v>0.95</c:v>
                </c:pt>
                <c:pt idx="60">
                  <c:v>0.95</c:v>
                </c:pt>
                <c:pt idx="61">
                  <c:v>0.95</c:v>
                </c:pt>
                <c:pt idx="62">
                  <c:v>0.95</c:v>
                </c:pt>
                <c:pt idx="63">
                  <c:v>0.95</c:v>
                </c:pt>
                <c:pt idx="64">
                  <c:v>0.95</c:v>
                </c:pt>
                <c:pt idx="65">
                  <c:v>0.95</c:v>
                </c:pt>
                <c:pt idx="66">
                  <c:v>0.95</c:v>
                </c:pt>
                <c:pt idx="67">
                  <c:v>0.95</c:v>
                </c:pt>
                <c:pt idx="68">
                  <c:v>0.95</c:v>
                </c:pt>
                <c:pt idx="69">
                  <c:v>0.95</c:v>
                </c:pt>
                <c:pt idx="70">
                  <c:v>0.95</c:v>
                </c:pt>
                <c:pt idx="71">
                  <c:v>0.95</c:v>
                </c:pt>
                <c:pt idx="72">
                  <c:v>0.95</c:v>
                </c:pt>
                <c:pt idx="73">
                  <c:v>0.95</c:v>
                </c:pt>
                <c:pt idx="74">
                  <c:v>0.95</c:v>
                </c:pt>
                <c:pt idx="75">
                  <c:v>0.95</c:v>
                </c:pt>
                <c:pt idx="76">
                  <c:v>0.95</c:v>
                </c:pt>
                <c:pt idx="77">
                  <c:v>0.95</c:v>
                </c:pt>
                <c:pt idx="78">
                  <c:v>0.95</c:v>
                </c:pt>
                <c:pt idx="79">
                  <c:v>0.95</c:v>
                </c:pt>
                <c:pt idx="80">
                  <c:v>0.95</c:v>
                </c:pt>
                <c:pt idx="81">
                  <c:v>0.95</c:v>
                </c:pt>
                <c:pt idx="82">
                  <c:v>0.95</c:v>
                </c:pt>
                <c:pt idx="83">
                  <c:v>0.95</c:v>
                </c:pt>
                <c:pt idx="84">
                  <c:v>0.95</c:v>
                </c:pt>
                <c:pt idx="85">
                  <c:v>0.95</c:v>
                </c:pt>
                <c:pt idx="86">
                  <c:v>0.95</c:v>
                </c:pt>
                <c:pt idx="87">
                  <c:v>0.95</c:v>
                </c:pt>
                <c:pt idx="88">
                  <c:v>0.95</c:v>
                </c:pt>
                <c:pt idx="89">
                  <c:v>0.95</c:v>
                </c:pt>
                <c:pt idx="90">
                  <c:v>0.95</c:v>
                </c:pt>
                <c:pt idx="91">
                  <c:v>0.95</c:v>
                </c:pt>
                <c:pt idx="92">
                  <c:v>0.95</c:v>
                </c:pt>
                <c:pt idx="93">
                  <c:v>0.95</c:v>
                </c:pt>
                <c:pt idx="94">
                  <c:v>0.95</c:v>
                </c:pt>
                <c:pt idx="95">
                  <c:v>0.95</c:v>
                </c:pt>
                <c:pt idx="96">
                  <c:v>0.95</c:v>
                </c:pt>
                <c:pt idx="97">
                  <c:v>0.95</c:v>
                </c:pt>
                <c:pt idx="98">
                  <c:v>0.95</c:v>
                </c:pt>
                <c:pt idx="99">
                  <c:v>0.95</c:v>
                </c:pt>
                <c:pt idx="100">
                  <c:v>0.95</c:v>
                </c:pt>
              </c:numCache>
            </c:numRef>
          </c:yVal>
          <c:smooth val="0"/>
        </c:ser>
        <c:ser>
          <c:idx val="5"/>
          <c:order val="4"/>
          <c:tx>
            <c:v>"Binær"</c:v>
          </c:tx>
          <c:spPr>
            <a:ln>
              <a:solidFill>
                <a:srgbClr val="00B050"/>
              </a:solidFill>
              <a:prstDash val="dash"/>
            </a:ln>
          </c:spPr>
          <c:marker>
            <c:symbol val="none"/>
          </c:marker>
          <c:xVal>
            <c:numRef>
              <c:f>FuzzyLogic!$B$4:$B$104</c:f>
              <c:numCache>
                <c:formatCode>General</c:formatCode>
                <c:ptCount val="10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</c:numCache>
            </c:numRef>
          </c:xVal>
          <c:yVal>
            <c:numRef>
              <c:f>FuzzyLogic!$F$4:$F$104</c:f>
              <c:numCache>
                <c:formatCode>General</c:formatCode>
                <c:ptCount val="1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558336"/>
        <c:axId val="38576896"/>
      </c:scatterChart>
      <c:valAx>
        <c:axId val="38558336"/>
        <c:scaling>
          <c:orientation val="minMax"/>
          <c:max val="105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/>
                  <a:t>Criteria values (vertical distance in</a:t>
                </a:r>
                <a:r>
                  <a:rPr lang="en-US" sz="1000" baseline="0"/>
                  <a:t> meters from ridge top)</a:t>
                </a:r>
                <a:endParaRPr lang="en-US" sz="1000"/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8576896"/>
        <c:crosses val="autoZero"/>
        <c:crossBetween val="midCat"/>
        <c:majorUnit val="15"/>
      </c:valAx>
      <c:valAx>
        <c:axId val="38576896"/>
        <c:scaling>
          <c:orientation val="minMax"/>
          <c:max val="1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Degree</a:t>
                </a:r>
                <a:r>
                  <a:rPr lang="en-US" sz="1000" baseline="0"/>
                  <a:t> of accept</a:t>
                </a:r>
                <a:endParaRPr lang="en-US" sz="1000"/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8558336"/>
        <c:crosses val="autoZero"/>
        <c:crossBetween val="midCat"/>
        <c:majorUnit val="0.5"/>
        <c:minorUnit val="0.5"/>
      </c:valAx>
    </c:plotArea>
    <c:plotVisOnly val="0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7A419-9E1A-45AC-BDD9-82C53B183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2052</Words>
  <Characters>11700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NINA</Company>
  <LinksUpToDate>false</LinksUpToDate>
  <CharactersWithSpaces>13725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Hanssen</dc:creator>
  <cp:lastModifiedBy>Frank Hanssen</cp:lastModifiedBy>
  <cp:revision>11</cp:revision>
  <cp:lastPrinted>2012-06-28T14:33:00Z</cp:lastPrinted>
  <dcterms:created xsi:type="dcterms:W3CDTF">2012-06-28T14:00:00Z</dcterms:created>
  <dcterms:modified xsi:type="dcterms:W3CDTF">2012-06-28T15:36:00Z</dcterms:modified>
</cp:coreProperties>
</file>