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5E787" w14:textId="77777777" w:rsidR="00F97DA1" w:rsidRPr="00F97DA1" w:rsidRDefault="00F97DA1">
      <w:pPr>
        <w:rPr>
          <w:rFonts w:ascii="Arial Unicode MS" w:eastAsia="Arial Unicode MS" w:hAnsi="Arial Unicode MS" w:cs="Arial Unicode MS"/>
        </w:rPr>
      </w:pPr>
    </w:p>
    <w:p w14:paraId="4CD8C080" w14:textId="24DFE568" w:rsidR="00F97DA1" w:rsidRDefault="00F97DA1" w:rsidP="00F97DA1">
      <w:pPr>
        <w:ind w:left="-360" w:right="-540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F97DA1">
        <w:rPr>
          <w:rFonts w:ascii="Arial Unicode MS" w:eastAsia="Arial Unicode MS" w:hAnsi="Arial Unicode MS" w:cs="Arial Unicode MS"/>
          <w:b/>
          <w:sz w:val="28"/>
          <w:szCs w:val="28"/>
        </w:rPr>
        <w:t>As I</w:t>
      </w:r>
      <w:r w:rsidR="00AA5D39">
        <w:rPr>
          <w:rFonts w:ascii="Arial Unicode MS" w:eastAsia="Arial Unicode MS" w:hAnsi="Arial Unicode MS" w:cs="Arial Unicode MS"/>
          <w:b/>
          <w:sz w:val="28"/>
          <w:szCs w:val="28"/>
        </w:rPr>
        <w:t xml:space="preserve">mpact </w:t>
      </w:r>
      <w:r w:rsidRPr="00F97DA1">
        <w:rPr>
          <w:rFonts w:ascii="Arial Unicode MS" w:eastAsia="Arial Unicode MS" w:hAnsi="Arial Unicode MS" w:cs="Arial Unicode MS"/>
          <w:b/>
          <w:sz w:val="28"/>
          <w:szCs w:val="28"/>
        </w:rPr>
        <w:t>A</w:t>
      </w:r>
      <w:r w:rsidR="00AA5D39">
        <w:rPr>
          <w:rFonts w:ascii="Arial Unicode MS" w:eastAsia="Arial Unicode MS" w:hAnsi="Arial Unicode MS" w:cs="Arial Unicode MS"/>
          <w:b/>
          <w:sz w:val="28"/>
          <w:szCs w:val="28"/>
        </w:rPr>
        <w:t>ssessment (IA)</w:t>
      </w:r>
      <w:r w:rsidRPr="00F97DA1">
        <w:rPr>
          <w:rFonts w:ascii="Arial Unicode MS" w:eastAsia="Arial Unicode MS" w:hAnsi="Arial Unicode MS" w:cs="Arial Unicode MS"/>
          <w:b/>
          <w:sz w:val="28"/>
          <w:szCs w:val="28"/>
        </w:rPr>
        <w:t xml:space="preserve"> Practitioners, do we have a responsibility to assess not only the impacts of the project on communities, but the impact of the impact assessment process?</w:t>
      </w:r>
    </w:p>
    <w:p w14:paraId="331F95A3" w14:textId="5153CE37" w:rsidR="005E69E5" w:rsidRPr="005E69E5" w:rsidRDefault="005E69E5" w:rsidP="005E69E5">
      <w:pPr>
        <w:ind w:left="-360" w:right="-540"/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By Natasha Reifschneider</w:t>
      </w:r>
      <w:r w:rsidR="002A10A9">
        <w:rPr>
          <w:rFonts w:ascii="Arial Unicode MS" w:eastAsia="Arial Unicode MS" w:hAnsi="Arial Unicode MS" w:cs="Arial Unicode MS"/>
          <w:b/>
        </w:rPr>
        <w:t xml:space="preserve">  2</w:t>
      </w:r>
      <w:r w:rsidR="006365B0">
        <w:rPr>
          <w:rFonts w:ascii="Arial Unicode MS" w:eastAsia="Arial Unicode MS" w:hAnsi="Arial Unicode MS" w:cs="Arial Unicode MS"/>
          <w:b/>
        </w:rPr>
        <w:t>3</w:t>
      </w:r>
      <w:r w:rsidR="002A10A9">
        <w:rPr>
          <w:rFonts w:ascii="Arial Unicode MS" w:eastAsia="Arial Unicode MS" w:hAnsi="Arial Unicode MS" w:cs="Arial Unicode MS"/>
          <w:b/>
        </w:rPr>
        <w:t>.</w:t>
      </w:r>
      <w:r w:rsidR="006365B0">
        <w:rPr>
          <w:rFonts w:ascii="Arial Unicode MS" w:eastAsia="Arial Unicode MS" w:hAnsi="Arial Unicode MS" w:cs="Arial Unicode MS"/>
          <w:b/>
        </w:rPr>
        <w:t>4</w:t>
      </w:r>
      <w:r w:rsidR="002A10A9">
        <w:rPr>
          <w:rFonts w:ascii="Arial Unicode MS" w:eastAsia="Arial Unicode MS" w:hAnsi="Arial Unicode MS" w:cs="Arial Unicode MS"/>
          <w:b/>
        </w:rPr>
        <w:t>.2019</w:t>
      </w:r>
    </w:p>
    <w:p w14:paraId="02FE197A" w14:textId="4882A926" w:rsidR="005E69E5" w:rsidRDefault="005E69E5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5E69E5">
        <w:rPr>
          <w:rFonts w:ascii="Arial Unicode MS" w:eastAsia="Arial Unicode MS" w:hAnsi="Arial Unicode MS" w:cs="Arial Unicode MS"/>
          <w:b/>
          <w:sz w:val="28"/>
          <w:szCs w:val="28"/>
        </w:rPr>
        <w:t>Abstract</w:t>
      </w:r>
    </w:p>
    <w:p w14:paraId="340B984E" w14:textId="5427D2EF" w:rsidR="00C74736" w:rsidRDefault="00C74736" w:rsidP="00734EBA">
      <w:pPr>
        <w:spacing w:before="75" w:after="150" w:line="360" w:lineRule="atLeast"/>
        <w:rPr>
          <w:rFonts w:ascii="Arial" w:eastAsia="Times New Roman" w:hAnsi="Arial" w:cs="Arial"/>
          <w:color w:val="000000"/>
          <w:lang w:val="en" w:eastAsia="en-AU"/>
        </w:rPr>
      </w:pPr>
      <w:r>
        <w:rPr>
          <w:rFonts w:ascii="Arial" w:eastAsia="Times New Roman" w:hAnsi="Arial" w:cs="Arial"/>
          <w:color w:val="000000"/>
          <w:lang w:val="en" w:eastAsia="en-AU"/>
        </w:rPr>
        <w:t xml:space="preserve">Both </w:t>
      </w:r>
      <w:r w:rsidR="0017174A">
        <w:rPr>
          <w:rFonts w:ascii="Arial" w:eastAsia="Times New Roman" w:hAnsi="Arial" w:cs="Arial"/>
          <w:color w:val="000000"/>
          <w:lang w:val="en" w:eastAsia="en-AU"/>
        </w:rPr>
        <w:t xml:space="preserve">an EIA </w:t>
      </w:r>
      <w:r w:rsidR="00313689">
        <w:rPr>
          <w:rFonts w:ascii="Arial" w:eastAsia="Times New Roman" w:hAnsi="Arial" w:cs="Arial"/>
          <w:color w:val="000000"/>
          <w:lang w:val="en" w:eastAsia="en-AU"/>
        </w:rPr>
        <w:t xml:space="preserve">(Environmental Impact Assessment) </w:t>
      </w:r>
      <w:r>
        <w:rPr>
          <w:rFonts w:ascii="Arial" w:eastAsia="Times New Roman" w:hAnsi="Arial" w:cs="Arial"/>
          <w:color w:val="000000"/>
          <w:lang w:val="en" w:eastAsia="en-AU"/>
        </w:rPr>
        <w:t>project</w:t>
      </w:r>
      <w:r w:rsidR="0095147C">
        <w:rPr>
          <w:rFonts w:ascii="Arial" w:eastAsia="Times New Roman" w:hAnsi="Arial" w:cs="Arial"/>
          <w:color w:val="000000"/>
          <w:lang w:val="en" w:eastAsia="en-AU"/>
        </w:rPr>
        <w:t>,</w:t>
      </w:r>
      <w:r>
        <w:rPr>
          <w:rFonts w:ascii="Arial" w:eastAsia="Times New Roman" w:hAnsi="Arial" w:cs="Arial"/>
          <w:color w:val="000000"/>
          <w:lang w:val="en" w:eastAsia="en-AU"/>
        </w:rPr>
        <w:t xml:space="preserve"> and </w:t>
      </w:r>
      <w:r w:rsidR="0017174A">
        <w:rPr>
          <w:rFonts w:ascii="Arial" w:eastAsia="Times New Roman" w:hAnsi="Arial" w:cs="Arial"/>
          <w:color w:val="000000"/>
          <w:lang w:val="en" w:eastAsia="en-AU"/>
        </w:rPr>
        <w:t xml:space="preserve">the EIA </w:t>
      </w:r>
      <w:r>
        <w:rPr>
          <w:rFonts w:ascii="Arial" w:eastAsia="Times New Roman" w:hAnsi="Arial" w:cs="Arial"/>
          <w:color w:val="000000"/>
          <w:lang w:val="en" w:eastAsia="en-AU"/>
        </w:rPr>
        <w:t xml:space="preserve">assessment process impact </w:t>
      </w:r>
      <w:r w:rsidR="00D47303">
        <w:rPr>
          <w:rFonts w:ascii="Arial" w:eastAsia="Times New Roman" w:hAnsi="Arial" w:cs="Arial"/>
          <w:color w:val="000000"/>
          <w:lang w:val="en" w:eastAsia="en-AU"/>
        </w:rPr>
        <w:t>on</w:t>
      </w:r>
      <w:r>
        <w:rPr>
          <w:rFonts w:ascii="Arial" w:eastAsia="Times New Roman" w:hAnsi="Arial" w:cs="Arial"/>
          <w:color w:val="000000"/>
          <w:lang w:val="en" w:eastAsia="en-AU"/>
        </w:rPr>
        <w:t xml:space="preserve"> communities, however </w:t>
      </w:r>
      <w:r w:rsidR="00D64214">
        <w:rPr>
          <w:rFonts w:ascii="Arial" w:eastAsia="Times New Roman" w:hAnsi="Arial" w:cs="Arial"/>
          <w:color w:val="000000"/>
          <w:lang w:val="en" w:eastAsia="en-AU"/>
        </w:rPr>
        <w:t xml:space="preserve">like many other jurisdictions, </w:t>
      </w:r>
      <w:r w:rsidR="00D47303">
        <w:rPr>
          <w:rFonts w:ascii="Arial" w:eastAsia="Times New Roman" w:hAnsi="Arial" w:cs="Arial"/>
          <w:color w:val="000000"/>
          <w:lang w:val="en" w:eastAsia="en-AU"/>
        </w:rPr>
        <w:t xml:space="preserve">only the impacts of the project requires assessment as part of the Victorian EIA process, </w:t>
      </w:r>
      <w:r w:rsidR="0095147C">
        <w:rPr>
          <w:rFonts w:ascii="Arial" w:eastAsia="Times New Roman" w:hAnsi="Arial" w:cs="Arial"/>
          <w:color w:val="000000"/>
          <w:lang w:val="en" w:eastAsia="en-AU"/>
        </w:rPr>
        <w:t xml:space="preserve">leaving impacts experienced by the community </w:t>
      </w:r>
      <w:r w:rsidR="00D47303">
        <w:rPr>
          <w:rFonts w:ascii="Arial" w:eastAsia="Times New Roman" w:hAnsi="Arial" w:cs="Arial"/>
          <w:color w:val="000000"/>
          <w:lang w:val="en" w:eastAsia="en-AU"/>
        </w:rPr>
        <w:t xml:space="preserve">during the assessment </w:t>
      </w:r>
      <w:r w:rsidR="00313689">
        <w:rPr>
          <w:rFonts w:ascii="Arial" w:eastAsia="Times New Roman" w:hAnsi="Arial" w:cs="Arial"/>
          <w:color w:val="000000"/>
          <w:lang w:val="en" w:eastAsia="en-AU"/>
        </w:rPr>
        <w:t xml:space="preserve">process </w:t>
      </w:r>
      <w:r w:rsidR="0095147C">
        <w:rPr>
          <w:rFonts w:ascii="Arial" w:eastAsia="Times New Roman" w:hAnsi="Arial" w:cs="Arial"/>
          <w:color w:val="000000"/>
          <w:lang w:val="en" w:eastAsia="en-AU"/>
        </w:rPr>
        <w:t>such as stress, anxiety, time investment and financial costs un</w:t>
      </w:r>
      <w:r w:rsidR="007C4BCC">
        <w:rPr>
          <w:rFonts w:ascii="Arial" w:eastAsia="Times New Roman" w:hAnsi="Arial" w:cs="Arial"/>
          <w:color w:val="000000"/>
          <w:lang w:val="en" w:eastAsia="en-AU"/>
        </w:rPr>
        <w:t>tested or</w:t>
      </w:r>
      <w:r w:rsidR="00313689">
        <w:rPr>
          <w:rFonts w:ascii="Arial" w:eastAsia="Times New Roman" w:hAnsi="Arial" w:cs="Arial"/>
          <w:color w:val="000000"/>
          <w:lang w:val="en" w:eastAsia="en-AU"/>
        </w:rPr>
        <w:t xml:space="preserve"> mitigated</w:t>
      </w:r>
      <w:r w:rsidR="007C4BCC">
        <w:rPr>
          <w:rFonts w:ascii="Arial" w:eastAsia="Times New Roman" w:hAnsi="Arial" w:cs="Arial"/>
          <w:color w:val="000000"/>
          <w:lang w:val="en" w:eastAsia="en-AU"/>
        </w:rPr>
        <w:t xml:space="preserve">. </w:t>
      </w:r>
      <w:r w:rsidR="00D47303">
        <w:rPr>
          <w:rFonts w:ascii="Arial" w:eastAsia="Times New Roman" w:hAnsi="Arial" w:cs="Arial"/>
          <w:color w:val="000000"/>
          <w:lang w:val="en" w:eastAsia="en-AU"/>
        </w:rPr>
        <w:t>Given the lack of available research on this topic, observations from EIA practitioners, and community members participating in EIA’s are used as a source for this paper.</w:t>
      </w:r>
    </w:p>
    <w:p w14:paraId="7CF51661" w14:textId="48F298A1" w:rsidR="00045F8C" w:rsidRPr="0095147C" w:rsidRDefault="007C4BCC" w:rsidP="0017174A">
      <w:pPr>
        <w:spacing w:before="75" w:after="150" w:line="360" w:lineRule="atLeast"/>
        <w:rPr>
          <w:rFonts w:ascii="Arial" w:eastAsia="Times New Roman" w:hAnsi="Arial" w:cs="Arial"/>
          <w:color w:val="000000"/>
          <w:lang w:val="en" w:eastAsia="en-AU"/>
        </w:rPr>
      </w:pPr>
      <w:r>
        <w:rPr>
          <w:rFonts w:ascii="Arial" w:eastAsia="Times New Roman" w:hAnsi="Arial" w:cs="Arial"/>
          <w:color w:val="000000"/>
          <w:lang w:val="en" w:eastAsia="en-AU"/>
        </w:rPr>
        <w:t xml:space="preserve">To test whether there is a ‘blind spot’ in the social and financial costs of the EIA process, </w:t>
      </w:r>
      <w:r w:rsidR="00313689">
        <w:rPr>
          <w:rFonts w:ascii="Arial" w:eastAsia="Times New Roman" w:hAnsi="Arial" w:cs="Arial"/>
          <w:color w:val="000000"/>
          <w:lang w:val="en" w:eastAsia="en-AU"/>
        </w:rPr>
        <w:t xml:space="preserve">further </w:t>
      </w:r>
      <w:r>
        <w:rPr>
          <w:rFonts w:ascii="Arial" w:eastAsia="Times New Roman" w:hAnsi="Arial" w:cs="Arial"/>
          <w:color w:val="000000"/>
          <w:lang w:val="en" w:eastAsia="en-AU"/>
        </w:rPr>
        <w:t>f</w:t>
      </w:r>
      <w:r w:rsidR="0095147C">
        <w:rPr>
          <w:rFonts w:ascii="Arial" w:eastAsia="Times New Roman" w:hAnsi="Arial" w:cs="Arial"/>
          <w:color w:val="000000"/>
          <w:lang w:val="en" w:eastAsia="en-AU"/>
        </w:rPr>
        <w:t xml:space="preserve">ormal research is </w:t>
      </w:r>
      <w:r>
        <w:rPr>
          <w:rFonts w:ascii="Arial" w:eastAsia="Times New Roman" w:hAnsi="Arial" w:cs="Arial"/>
          <w:color w:val="000000"/>
          <w:lang w:val="en" w:eastAsia="en-AU"/>
        </w:rPr>
        <w:t xml:space="preserve">required </w:t>
      </w:r>
      <w:r w:rsidR="0095147C">
        <w:rPr>
          <w:rFonts w:ascii="Arial" w:eastAsia="Times New Roman" w:hAnsi="Arial" w:cs="Arial"/>
          <w:color w:val="000000"/>
          <w:lang w:val="en" w:eastAsia="en-AU"/>
        </w:rPr>
        <w:t xml:space="preserve">to </w:t>
      </w:r>
      <w:r w:rsidR="00313689">
        <w:rPr>
          <w:rFonts w:ascii="Arial" w:eastAsia="Times New Roman" w:hAnsi="Arial" w:cs="Arial"/>
          <w:color w:val="000000"/>
          <w:lang w:val="en" w:eastAsia="en-AU"/>
        </w:rPr>
        <w:t>further</w:t>
      </w:r>
      <w:r w:rsidR="0095147C">
        <w:rPr>
          <w:rFonts w:ascii="Arial" w:eastAsia="Times New Roman" w:hAnsi="Arial" w:cs="Arial"/>
          <w:color w:val="000000"/>
          <w:lang w:val="en" w:eastAsia="en-AU"/>
        </w:rPr>
        <w:t xml:space="preserve"> understand whether </w:t>
      </w:r>
      <w:r>
        <w:rPr>
          <w:rFonts w:ascii="Arial" w:eastAsia="Times New Roman" w:hAnsi="Arial" w:cs="Arial"/>
          <w:color w:val="000000"/>
          <w:lang w:val="en" w:eastAsia="en-AU"/>
        </w:rPr>
        <w:t xml:space="preserve">social and financial </w:t>
      </w:r>
      <w:r w:rsidR="0095147C">
        <w:rPr>
          <w:rFonts w:ascii="Arial" w:eastAsia="Times New Roman" w:hAnsi="Arial" w:cs="Arial"/>
          <w:color w:val="000000"/>
          <w:lang w:val="en" w:eastAsia="en-AU"/>
        </w:rPr>
        <w:t xml:space="preserve">impacts </w:t>
      </w:r>
      <w:r w:rsidR="00313689">
        <w:rPr>
          <w:rFonts w:ascii="Arial" w:eastAsia="Times New Roman" w:hAnsi="Arial" w:cs="Arial"/>
          <w:color w:val="000000"/>
          <w:lang w:val="en" w:eastAsia="en-AU"/>
        </w:rPr>
        <w:t xml:space="preserve">on communities </w:t>
      </w:r>
      <w:r>
        <w:rPr>
          <w:rFonts w:ascii="Arial" w:eastAsia="Times New Roman" w:hAnsi="Arial" w:cs="Arial"/>
          <w:color w:val="000000"/>
          <w:lang w:val="en" w:eastAsia="en-AU"/>
        </w:rPr>
        <w:t xml:space="preserve">are acceptable and </w:t>
      </w:r>
      <w:r w:rsidR="00AA5D39">
        <w:rPr>
          <w:rFonts w:ascii="Arial" w:eastAsia="Times New Roman" w:hAnsi="Arial" w:cs="Arial"/>
          <w:color w:val="000000"/>
          <w:lang w:val="en" w:eastAsia="en-AU"/>
        </w:rPr>
        <w:t>whether EIA</w:t>
      </w:r>
      <w:r>
        <w:rPr>
          <w:rFonts w:ascii="Arial" w:eastAsia="Times New Roman" w:hAnsi="Arial" w:cs="Arial"/>
          <w:color w:val="000000"/>
          <w:lang w:val="en" w:eastAsia="en-AU"/>
        </w:rPr>
        <w:t xml:space="preserve"> should evolve to a more </w:t>
      </w:r>
      <w:r w:rsidR="00A3486C">
        <w:rPr>
          <w:rFonts w:ascii="Arial" w:eastAsia="Times New Roman" w:hAnsi="Arial" w:cs="Arial"/>
          <w:color w:val="000000"/>
          <w:lang w:val="en" w:eastAsia="en-AU"/>
        </w:rPr>
        <w:t>socially</w:t>
      </w:r>
      <w:r w:rsidR="0095147C">
        <w:rPr>
          <w:rFonts w:ascii="Arial" w:eastAsia="Times New Roman" w:hAnsi="Arial" w:cs="Arial"/>
          <w:color w:val="000000"/>
          <w:lang w:val="en" w:eastAsia="en-AU"/>
        </w:rPr>
        <w:t xml:space="preserve"> </w:t>
      </w:r>
      <w:r w:rsidR="00A3486C">
        <w:rPr>
          <w:rFonts w:ascii="Arial" w:eastAsia="Times New Roman" w:hAnsi="Arial" w:cs="Arial"/>
          <w:color w:val="000000"/>
          <w:lang w:val="en" w:eastAsia="en-AU"/>
        </w:rPr>
        <w:t>responsible</w:t>
      </w:r>
      <w:r w:rsidR="0095147C">
        <w:rPr>
          <w:rFonts w:ascii="Arial" w:eastAsia="Times New Roman" w:hAnsi="Arial" w:cs="Arial"/>
          <w:color w:val="000000"/>
          <w:lang w:val="en" w:eastAsia="en-AU"/>
        </w:rPr>
        <w:t xml:space="preserve"> process</w:t>
      </w:r>
      <w:r w:rsidR="00313689">
        <w:rPr>
          <w:rFonts w:ascii="Arial" w:eastAsia="Times New Roman" w:hAnsi="Arial" w:cs="Arial"/>
          <w:color w:val="000000"/>
          <w:lang w:val="en" w:eastAsia="en-AU"/>
        </w:rPr>
        <w:t xml:space="preserve"> to mitigate or manage these impacts.</w:t>
      </w:r>
    </w:p>
    <w:p w14:paraId="334CC463" w14:textId="2F2B5472" w:rsidR="005E69E5" w:rsidRDefault="005E69E5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Introduction</w:t>
      </w:r>
    </w:p>
    <w:p w14:paraId="46C396E8" w14:textId="4E948836" w:rsidR="0094287F" w:rsidRDefault="0094287F" w:rsidP="00764014">
      <w:pPr>
        <w:spacing w:before="75" w:after="150" w:line="360" w:lineRule="atLeast"/>
        <w:rPr>
          <w:rFonts w:ascii="Arial" w:eastAsia="Times New Roman" w:hAnsi="Arial" w:cs="Arial"/>
          <w:color w:val="000000"/>
          <w:lang w:val="en" w:eastAsia="en-AU"/>
        </w:rPr>
      </w:pPr>
      <w:r>
        <w:rPr>
          <w:rFonts w:ascii="Arial" w:eastAsia="Times New Roman" w:hAnsi="Arial" w:cs="Arial"/>
          <w:color w:val="000000"/>
          <w:lang w:val="en" w:eastAsia="en-AU"/>
        </w:rPr>
        <w:t xml:space="preserve">In Victoria, use and development proposals are subject different scales of </w:t>
      </w:r>
      <w:r w:rsidR="000C3A50">
        <w:rPr>
          <w:rFonts w:ascii="Arial" w:eastAsia="Times New Roman" w:hAnsi="Arial" w:cs="Arial"/>
          <w:color w:val="000000"/>
          <w:lang w:val="en" w:eastAsia="en-AU"/>
        </w:rPr>
        <w:t>impact assessment</w:t>
      </w:r>
      <w:r>
        <w:rPr>
          <w:rFonts w:ascii="Arial" w:eastAsia="Times New Roman" w:hAnsi="Arial" w:cs="Arial"/>
          <w:color w:val="000000"/>
          <w:lang w:val="en" w:eastAsia="en-AU"/>
        </w:rPr>
        <w:t xml:space="preserve"> </w:t>
      </w:r>
      <w:r w:rsidR="000C3A50">
        <w:rPr>
          <w:rFonts w:ascii="Arial" w:eastAsia="Times New Roman" w:hAnsi="Arial" w:cs="Arial"/>
          <w:color w:val="000000"/>
          <w:lang w:val="en" w:eastAsia="en-AU"/>
        </w:rPr>
        <w:t>dependent</w:t>
      </w:r>
      <w:r>
        <w:rPr>
          <w:rFonts w:ascii="Arial" w:eastAsia="Times New Roman" w:hAnsi="Arial" w:cs="Arial"/>
          <w:color w:val="000000"/>
          <w:lang w:val="en" w:eastAsia="en-AU"/>
        </w:rPr>
        <w:t xml:space="preserve"> on the project scale and</w:t>
      </w:r>
      <w:r w:rsidR="000C3A50">
        <w:rPr>
          <w:rFonts w:ascii="Arial" w:eastAsia="Times New Roman" w:hAnsi="Arial" w:cs="Arial"/>
          <w:color w:val="000000"/>
          <w:lang w:val="en" w:eastAsia="en-AU"/>
        </w:rPr>
        <w:t xml:space="preserve"> nature of impacts</w:t>
      </w:r>
      <w:r>
        <w:rPr>
          <w:rFonts w:ascii="Arial" w:eastAsia="Times New Roman" w:hAnsi="Arial" w:cs="Arial"/>
          <w:color w:val="000000"/>
          <w:lang w:val="en" w:eastAsia="en-AU"/>
        </w:rPr>
        <w:t xml:space="preserve">. The </w:t>
      </w:r>
      <w:r w:rsidRPr="0094287F">
        <w:rPr>
          <w:rFonts w:ascii="Arial" w:eastAsia="Times New Roman" w:hAnsi="Arial" w:cs="Arial"/>
          <w:i/>
          <w:color w:val="000000"/>
          <w:lang w:val="en" w:eastAsia="en-AU"/>
        </w:rPr>
        <w:t>Planning &amp; Environment Act 1987</w:t>
      </w:r>
      <w:r>
        <w:rPr>
          <w:rFonts w:ascii="Arial" w:eastAsia="Times New Roman" w:hAnsi="Arial" w:cs="Arial"/>
          <w:color w:val="000000"/>
          <w:lang w:val="en" w:eastAsia="en-AU"/>
        </w:rPr>
        <w:t xml:space="preserve"> regulates smaller scale and use and development </w:t>
      </w:r>
      <w:r w:rsidR="000C3A50">
        <w:rPr>
          <w:rFonts w:ascii="Arial" w:eastAsia="Times New Roman" w:hAnsi="Arial" w:cs="Arial"/>
          <w:color w:val="000000"/>
          <w:lang w:val="en" w:eastAsia="en-AU"/>
        </w:rPr>
        <w:t xml:space="preserve">which typically </w:t>
      </w:r>
      <w:r>
        <w:rPr>
          <w:rFonts w:ascii="Arial" w:eastAsia="Times New Roman" w:hAnsi="Arial" w:cs="Arial"/>
          <w:color w:val="000000"/>
          <w:lang w:val="en" w:eastAsia="en-AU"/>
        </w:rPr>
        <w:t>assess</w:t>
      </w:r>
      <w:r w:rsidR="000C3A50">
        <w:rPr>
          <w:rFonts w:ascii="Arial" w:eastAsia="Times New Roman" w:hAnsi="Arial" w:cs="Arial"/>
          <w:color w:val="000000"/>
          <w:lang w:val="en" w:eastAsia="en-AU"/>
        </w:rPr>
        <w:t>es</w:t>
      </w:r>
      <w:r>
        <w:rPr>
          <w:rFonts w:ascii="Arial" w:eastAsia="Times New Roman" w:hAnsi="Arial" w:cs="Arial"/>
          <w:color w:val="000000"/>
          <w:lang w:val="en" w:eastAsia="en-AU"/>
        </w:rPr>
        <w:t xml:space="preserve"> local</w:t>
      </w:r>
      <w:r w:rsidR="000C3A50">
        <w:rPr>
          <w:rFonts w:ascii="Arial" w:eastAsia="Times New Roman" w:hAnsi="Arial" w:cs="Arial"/>
          <w:color w:val="000000"/>
          <w:lang w:val="en" w:eastAsia="en-AU"/>
        </w:rPr>
        <w:t>ised</w:t>
      </w:r>
      <w:r>
        <w:rPr>
          <w:rFonts w:ascii="Arial" w:eastAsia="Times New Roman" w:hAnsi="Arial" w:cs="Arial"/>
          <w:color w:val="000000"/>
          <w:lang w:val="en" w:eastAsia="en-AU"/>
        </w:rPr>
        <w:t xml:space="preserve"> impacts, whilst the </w:t>
      </w:r>
      <w:r w:rsidRPr="000C3A50">
        <w:rPr>
          <w:rFonts w:ascii="Arial" w:eastAsia="Times New Roman" w:hAnsi="Arial" w:cs="Arial"/>
          <w:i/>
          <w:color w:val="000000"/>
          <w:lang w:val="en" w:eastAsia="en-AU"/>
        </w:rPr>
        <w:t>Environment Effects Act 1978</w:t>
      </w:r>
      <w:r>
        <w:rPr>
          <w:rFonts w:ascii="Arial" w:eastAsia="Times New Roman" w:hAnsi="Arial" w:cs="Arial"/>
          <w:color w:val="000000"/>
          <w:lang w:val="en" w:eastAsia="en-AU"/>
        </w:rPr>
        <w:t xml:space="preserve"> </w:t>
      </w:r>
      <w:r w:rsidRPr="0094287F">
        <w:rPr>
          <w:rFonts w:ascii="Arial" w:eastAsia="Times New Roman" w:hAnsi="Arial" w:cs="Arial"/>
          <w:color w:val="000000"/>
          <w:lang w:val="en" w:eastAsia="en-AU"/>
        </w:rPr>
        <w:t xml:space="preserve">provides for assessment of proposed projects that </w:t>
      </w:r>
      <w:r w:rsidR="000C3A50" w:rsidRPr="0094287F">
        <w:rPr>
          <w:rFonts w:ascii="Arial" w:eastAsia="Times New Roman" w:hAnsi="Arial" w:cs="Arial"/>
          <w:color w:val="000000"/>
          <w:lang w:val="en" w:eastAsia="en-AU"/>
        </w:rPr>
        <w:t>can have</w:t>
      </w:r>
      <w:r w:rsidRPr="0094287F">
        <w:rPr>
          <w:rFonts w:ascii="Arial" w:eastAsia="Times New Roman" w:hAnsi="Arial" w:cs="Arial"/>
          <w:color w:val="000000"/>
          <w:lang w:val="en" w:eastAsia="en-AU"/>
        </w:rPr>
        <w:t xml:space="preserve"> a significant effect on the environment. </w:t>
      </w:r>
      <w:r>
        <w:rPr>
          <w:rFonts w:ascii="Arial" w:eastAsia="Times New Roman" w:hAnsi="Arial" w:cs="Arial"/>
          <w:color w:val="000000"/>
          <w:lang w:val="en" w:eastAsia="en-AU"/>
        </w:rPr>
        <w:t xml:space="preserve">Both assessment projects provide </w:t>
      </w:r>
      <w:r w:rsidR="000C3A50">
        <w:rPr>
          <w:rFonts w:ascii="Arial" w:eastAsia="Times New Roman" w:hAnsi="Arial" w:cs="Arial"/>
          <w:color w:val="000000"/>
          <w:lang w:val="en" w:eastAsia="en-AU"/>
        </w:rPr>
        <w:t>a statutory public participation process.</w:t>
      </w:r>
    </w:p>
    <w:p w14:paraId="32F78B92" w14:textId="229B9C30" w:rsidR="00DA2789" w:rsidRDefault="00764014" w:rsidP="00764014">
      <w:pPr>
        <w:spacing w:before="75" w:after="150" w:line="360" w:lineRule="atLeast"/>
        <w:rPr>
          <w:rFonts w:ascii="Arial" w:eastAsia="Times New Roman" w:hAnsi="Arial" w:cs="Arial"/>
          <w:color w:val="000000"/>
          <w:lang w:val="en" w:eastAsia="en-AU"/>
        </w:rPr>
      </w:pPr>
      <w:r>
        <w:rPr>
          <w:rFonts w:ascii="Arial" w:eastAsia="Times New Roman" w:hAnsi="Arial" w:cs="Arial"/>
          <w:color w:val="000000"/>
          <w:lang w:val="en" w:eastAsia="en-AU"/>
        </w:rPr>
        <w:t xml:space="preserve">Both </w:t>
      </w:r>
      <w:r w:rsidR="00DA2789">
        <w:rPr>
          <w:rFonts w:ascii="Arial" w:eastAsia="Times New Roman" w:hAnsi="Arial" w:cs="Arial"/>
          <w:color w:val="000000"/>
          <w:lang w:val="en" w:eastAsia="en-AU"/>
        </w:rPr>
        <w:t>t</w:t>
      </w:r>
      <w:r>
        <w:rPr>
          <w:rFonts w:ascii="Arial" w:eastAsia="Times New Roman" w:hAnsi="Arial" w:cs="Arial"/>
          <w:color w:val="000000"/>
          <w:lang w:val="en" w:eastAsia="en-AU"/>
        </w:rPr>
        <w:t xml:space="preserve">he project and assessment process </w:t>
      </w:r>
      <w:r w:rsidR="00DA2789">
        <w:rPr>
          <w:rFonts w:ascii="Arial" w:eastAsia="Times New Roman" w:hAnsi="Arial" w:cs="Arial"/>
          <w:color w:val="000000"/>
          <w:lang w:val="en" w:eastAsia="en-AU"/>
        </w:rPr>
        <w:t xml:space="preserve">of the project </w:t>
      </w:r>
      <w:r>
        <w:rPr>
          <w:rFonts w:ascii="Arial" w:eastAsia="Times New Roman" w:hAnsi="Arial" w:cs="Arial"/>
          <w:color w:val="000000"/>
          <w:lang w:val="en" w:eastAsia="en-AU"/>
        </w:rPr>
        <w:t>impact communit</w:t>
      </w:r>
      <w:r w:rsidR="00D2269C">
        <w:rPr>
          <w:rFonts w:ascii="Arial" w:eastAsia="Times New Roman" w:hAnsi="Arial" w:cs="Arial"/>
          <w:color w:val="000000"/>
          <w:lang w:val="en" w:eastAsia="en-AU"/>
        </w:rPr>
        <w:t>ies,</w:t>
      </w:r>
      <w:r>
        <w:rPr>
          <w:rFonts w:ascii="Arial" w:eastAsia="Times New Roman" w:hAnsi="Arial" w:cs="Arial"/>
          <w:color w:val="000000"/>
          <w:lang w:val="en" w:eastAsia="en-AU"/>
        </w:rPr>
        <w:t xml:space="preserve"> however only the </w:t>
      </w:r>
      <w:r w:rsidR="00AA5D39">
        <w:rPr>
          <w:rFonts w:ascii="Arial" w:eastAsia="Times New Roman" w:hAnsi="Arial" w:cs="Arial"/>
          <w:color w:val="000000"/>
          <w:lang w:val="en" w:eastAsia="en-AU"/>
        </w:rPr>
        <w:t>‘</w:t>
      </w:r>
      <w:r>
        <w:rPr>
          <w:rFonts w:ascii="Arial" w:eastAsia="Times New Roman" w:hAnsi="Arial" w:cs="Arial"/>
          <w:color w:val="000000"/>
          <w:lang w:val="en" w:eastAsia="en-AU"/>
        </w:rPr>
        <w:t>project impact</w:t>
      </w:r>
      <w:r w:rsidR="00AA5D39">
        <w:rPr>
          <w:rFonts w:ascii="Arial" w:eastAsia="Times New Roman" w:hAnsi="Arial" w:cs="Arial"/>
          <w:color w:val="000000"/>
          <w:lang w:val="en" w:eastAsia="en-AU"/>
        </w:rPr>
        <w:t>’</w:t>
      </w:r>
      <w:r>
        <w:rPr>
          <w:rFonts w:ascii="Arial" w:eastAsia="Times New Roman" w:hAnsi="Arial" w:cs="Arial"/>
          <w:color w:val="000000"/>
          <w:lang w:val="en" w:eastAsia="en-AU"/>
        </w:rPr>
        <w:t xml:space="preserve"> require</w:t>
      </w:r>
      <w:r w:rsidR="00AA5D39">
        <w:rPr>
          <w:rFonts w:ascii="Arial" w:eastAsia="Times New Roman" w:hAnsi="Arial" w:cs="Arial"/>
          <w:color w:val="000000"/>
          <w:lang w:val="en" w:eastAsia="en-AU"/>
        </w:rPr>
        <w:t>s</w:t>
      </w:r>
      <w:r>
        <w:rPr>
          <w:rFonts w:ascii="Arial" w:eastAsia="Times New Roman" w:hAnsi="Arial" w:cs="Arial"/>
          <w:color w:val="000000"/>
          <w:lang w:val="en" w:eastAsia="en-AU"/>
        </w:rPr>
        <w:t xml:space="preserve"> assessment under the </w:t>
      </w:r>
      <w:r w:rsidRPr="00764014">
        <w:rPr>
          <w:rFonts w:ascii="Arial" w:eastAsia="Times New Roman" w:hAnsi="Arial" w:cs="Arial"/>
          <w:i/>
          <w:color w:val="000000"/>
          <w:lang w:val="en" w:eastAsia="en-AU"/>
        </w:rPr>
        <w:t>Environment Effects Act 1978</w:t>
      </w:r>
      <w:r>
        <w:rPr>
          <w:rFonts w:ascii="Arial" w:eastAsia="Times New Roman" w:hAnsi="Arial" w:cs="Arial"/>
          <w:color w:val="000000"/>
          <w:lang w:val="en" w:eastAsia="en-AU"/>
        </w:rPr>
        <w:t xml:space="preserve"> (EA Act)</w:t>
      </w:r>
      <w:r w:rsidR="005A6D29">
        <w:rPr>
          <w:rFonts w:ascii="Arial" w:eastAsia="Times New Roman" w:hAnsi="Arial" w:cs="Arial"/>
          <w:color w:val="000000"/>
          <w:lang w:val="en" w:eastAsia="en-AU"/>
        </w:rPr>
        <w:t xml:space="preserve"> in Victoria</w:t>
      </w:r>
      <w:r w:rsidR="00AA5D39">
        <w:rPr>
          <w:rFonts w:ascii="Arial" w:eastAsia="Times New Roman" w:hAnsi="Arial" w:cs="Arial"/>
          <w:color w:val="000000"/>
          <w:lang w:val="en" w:eastAsia="en-AU"/>
        </w:rPr>
        <w:t xml:space="preserve">. </w:t>
      </w:r>
      <w:r w:rsidR="00231210">
        <w:rPr>
          <w:rFonts w:ascii="Arial" w:eastAsia="Times New Roman" w:hAnsi="Arial" w:cs="Arial"/>
          <w:color w:val="000000"/>
          <w:lang w:val="en" w:eastAsia="en-AU"/>
        </w:rPr>
        <w:t>As socially responsible I</w:t>
      </w:r>
      <w:r w:rsidR="0017174A">
        <w:rPr>
          <w:rFonts w:ascii="Arial" w:eastAsia="Times New Roman" w:hAnsi="Arial" w:cs="Arial"/>
          <w:color w:val="000000"/>
          <w:lang w:val="en" w:eastAsia="en-AU"/>
        </w:rPr>
        <w:t xml:space="preserve">mpact Assessment </w:t>
      </w:r>
      <w:r w:rsidR="00231210">
        <w:rPr>
          <w:rFonts w:ascii="Arial" w:eastAsia="Times New Roman" w:hAnsi="Arial" w:cs="Arial"/>
          <w:color w:val="000000"/>
          <w:lang w:val="en" w:eastAsia="en-AU"/>
        </w:rPr>
        <w:t xml:space="preserve">practitioners should we be broadening our assessment to include the impacts of the </w:t>
      </w:r>
      <w:r w:rsidR="00E43300">
        <w:rPr>
          <w:rFonts w:ascii="Arial" w:eastAsia="Times New Roman" w:hAnsi="Arial" w:cs="Arial"/>
          <w:color w:val="000000"/>
          <w:lang w:val="en" w:eastAsia="en-AU"/>
        </w:rPr>
        <w:t xml:space="preserve">EIA </w:t>
      </w:r>
      <w:r w:rsidR="00231210">
        <w:rPr>
          <w:rFonts w:ascii="Arial" w:eastAsia="Times New Roman" w:hAnsi="Arial" w:cs="Arial"/>
          <w:color w:val="000000"/>
          <w:lang w:val="en" w:eastAsia="en-AU"/>
        </w:rPr>
        <w:t>process?</w:t>
      </w:r>
    </w:p>
    <w:p w14:paraId="05BBA8F0" w14:textId="2F70812C" w:rsidR="00231210" w:rsidRDefault="00231210" w:rsidP="00764014">
      <w:pPr>
        <w:spacing w:before="75" w:after="150" w:line="360" w:lineRule="atLeast"/>
        <w:rPr>
          <w:rFonts w:ascii="Arial" w:eastAsia="Times New Roman" w:hAnsi="Arial" w:cs="Arial"/>
          <w:color w:val="000000"/>
          <w:lang w:val="en" w:eastAsia="en-AU"/>
        </w:rPr>
      </w:pPr>
      <w:r>
        <w:rPr>
          <w:rFonts w:ascii="Arial" w:eastAsia="Times New Roman" w:hAnsi="Arial" w:cs="Arial"/>
          <w:color w:val="000000"/>
          <w:lang w:val="en" w:eastAsia="en-AU"/>
        </w:rPr>
        <w:t xml:space="preserve">This paper </w:t>
      </w:r>
      <w:r w:rsidR="00DA2789">
        <w:rPr>
          <w:rFonts w:ascii="Arial" w:eastAsia="Times New Roman" w:hAnsi="Arial" w:cs="Arial"/>
          <w:color w:val="000000"/>
          <w:lang w:val="en" w:eastAsia="en-AU"/>
        </w:rPr>
        <w:t>is based on</w:t>
      </w:r>
      <w:r>
        <w:rPr>
          <w:rFonts w:ascii="Arial" w:eastAsia="Times New Roman" w:hAnsi="Arial" w:cs="Arial"/>
          <w:color w:val="000000"/>
          <w:lang w:val="en" w:eastAsia="en-AU"/>
        </w:rPr>
        <w:t xml:space="preserve"> </w:t>
      </w:r>
      <w:r w:rsidR="006F1A67">
        <w:rPr>
          <w:rFonts w:ascii="Arial" w:eastAsia="Times New Roman" w:hAnsi="Arial" w:cs="Arial"/>
          <w:color w:val="000000"/>
          <w:lang w:val="en" w:eastAsia="en-AU"/>
        </w:rPr>
        <w:t xml:space="preserve">personal </w:t>
      </w:r>
      <w:r w:rsidR="00DA2789">
        <w:rPr>
          <w:rFonts w:ascii="Arial" w:eastAsia="Times New Roman" w:hAnsi="Arial" w:cs="Arial"/>
          <w:color w:val="000000"/>
          <w:lang w:val="en" w:eastAsia="en-AU"/>
        </w:rPr>
        <w:t>observations</w:t>
      </w:r>
      <w:r w:rsidR="006F1A67">
        <w:rPr>
          <w:rFonts w:ascii="Arial" w:eastAsia="Times New Roman" w:hAnsi="Arial" w:cs="Arial"/>
          <w:color w:val="000000"/>
          <w:lang w:val="en" w:eastAsia="en-AU"/>
        </w:rPr>
        <w:t xml:space="preserve">, observations of other EIA practitioners </w:t>
      </w:r>
      <w:r w:rsidR="00AA5D39">
        <w:rPr>
          <w:rFonts w:ascii="Arial" w:eastAsia="Times New Roman" w:hAnsi="Arial" w:cs="Arial"/>
          <w:color w:val="000000"/>
          <w:lang w:val="en" w:eastAsia="en-AU"/>
        </w:rPr>
        <w:t>and sourced</w:t>
      </w:r>
      <w:r>
        <w:rPr>
          <w:rFonts w:ascii="Arial" w:eastAsia="Times New Roman" w:hAnsi="Arial" w:cs="Arial"/>
          <w:color w:val="000000"/>
          <w:lang w:val="en" w:eastAsia="en-AU"/>
        </w:rPr>
        <w:t xml:space="preserve"> from community members </w:t>
      </w:r>
      <w:r w:rsidR="00DA2789">
        <w:rPr>
          <w:rFonts w:ascii="Arial" w:eastAsia="Times New Roman" w:hAnsi="Arial" w:cs="Arial"/>
          <w:color w:val="000000"/>
          <w:lang w:val="en" w:eastAsia="en-AU"/>
        </w:rPr>
        <w:t>participating in a current EIA</w:t>
      </w:r>
      <w:r w:rsidR="00D2269C">
        <w:rPr>
          <w:rFonts w:ascii="Arial" w:eastAsia="Times New Roman" w:hAnsi="Arial" w:cs="Arial"/>
          <w:color w:val="000000"/>
          <w:lang w:val="en" w:eastAsia="en-AU"/>
        </w:rPr>
        <w:t xml:space="preserve"> process in Victoria</w:t>
      </w:r>
      <w:r>
        <w:rPr>
          <w:rFonts w:ascii="Arial" w:eastAsia="Times New Roman" w:hAnsi="Arial" w:cs="Arial"/>
          <w:color w:val="000000"/>
          <w:lang w:val="en" w:eastAsia="en-AU"/>
        </w:rPr>
        <w:t>.</w:t>
      </w:r>
    </w:p>
    <w:p w14:paraId="227A8426" w14:textId="2EACA774" w:rsidR="00231210" w:rsidRDefault="00231210" w:rsidP="00764014">
      <w:pPr>
        <w:spacing w:before="75" w:after="150" w:line="360" w:lineRule="atLeast"/>
        <w:rPr>
          <w:rFonts w:ascii="Arial" w:eastAsia="Times New Roman" w:hAnsi="Arial" w:cs="Arial"/>
          <w:color w:val="000000"/>
          <w:lang w:val="en" w:eastAsia="en-AU"/>
        </w:rPr>
      </w:pPr>
      <w:r>
        <w:rPr>
          <w:rFonts w:ascii="Arial" w:eastAsia="Times New Roman" w:hAnsi="Arial" w:cs="Arial"/>
          <w:color w:val="000000"/>
          <w:lang w:val="en" w:eastAsia="en-AU"/>
        </w:rPr>
        <w:lastRenderedPageBreak/>
        <w:t xml:space="preserve">The </w:t>
      </w:r>
      <w:r w:rsidR="00DA2789">
        <w:rPr>
          <w:rFonts w:ascii="Arial" w:eastAsia="Times New Roman" w:hAnsi="Arial" w:cs="Arial"/>
          <w:color w:val="000000"/>
          <w:lang w:val="en" w:eastAsia="en-AU"/>
        </w:rPr>
        <w:t>methodology</w:t>
      </w:r>
      <w:r>
        <w:rPr>
          <w:rFonts w:ascii="Arial" w:eastAsia="Times New Roman" w:hAnsi="Arial" w:cs="Arial"/>
          <w:color w:val="000000"/>
          <w:lang w:val="en" w:eastAsia="en-AU"/>
        </w:rPr>
        <w:t xml:space="preserve"> </w:t>
      </w:r>
      <w:r w:rsidR="00D2269C">
        <w:rPr>
          <w:rFonts w:ascii="Arial" w:eastAsia="Times New Roman" w:hAnsi="Arial" w:cs="Arial"/>
          <w:color w:val="000000"/>
          <w:lang w:val="en" w:eastAsia="en-AU"/>
        </w:rPr>
        <w:t xml:space="preserve">for this paper </w:t>
      </w:r>
      <w:r>
        <w:rPr>
          <w:rFonts w:ascii="Arial" w:eastAsia="Times New Roman" w:hAnsi="Arial" w:cs="Arial"/>
          <w:color w:val="000000"/>
          <w:lang w:val="en" w:eastAsia="en-AU"/>
        </w:rPr>
        <w:t>involved review of:</w:t>
      </w:r>
    </w:p>
    <w:p w14:paraId="51654159" w14:textId="48CEAD7A" w:rsidR="00231210" w:rsidRDefault="00231210" w:rsidP="00231210">
      <w:pPr>
        <w:pStyle w:val="ListParagraph"/>
        <w:numPr>
          <w:ilvl w:val="0"/>
          <w:numId w:val="15"/>
        </w:numPr>
        <w:spacing w:before="75" w:after="150" w:line="360" w:lineRule="atLeast"/>
        <w:rPr>
          <w:rFonts w:ascii="Arial" w:eastAsia="Times New Roman" w:hAnsi="Arial" w:cs="Arial"/>
          <w:color w:val="000000"/>
          <w:lang w:val="en" w:eastAsia="en-AU"/>
        </w:rPr>
      </w:pPr>
      <w:r>
        <w:rPr>
          <w:rFonts w:ascii="Arial" w:eastAsia="Times New Roman" w:hAnsi="Arial" w:cs="Arial"/>
          <w:color w:val="000000"/>
          <w:lang w:val="en" w:eastAsia="en-AU"/>
        </w:rPr>
        <w:t xml:space="preserve">EIA legislation and </w:t>
      </w:r>
      <w:r w:rsidR="00DA2789">
        <w:rPr>
          <w:rFonts w:ascii="Arial" w:eastAsia="Times New Roman" w:hAnsi="Arial" w:cs="Arial"/>
          <w:color w:val="000000"/>
          <w:lang w:val="en" w:eastAsia="en-AU"/>
        </w:rPr>
        <w:t>associated</w:t>
      </w:r>
      <w:r>
        <w:rPr>
          <w:rFonts w:ascii="Arial" w:eastAsia="Times New Roman" w:hAnsi="Arial" w:cs="Arial"/>
          <w:color w:val="000000"/>
          <w:lang w:val="en" w:eastAsia="en-AU"/>
        </w:rPr>
        <w:t xml:space="preserve"> government guidance for the Australian State of Victoria</w:t>
      </w:r>
    </w:p>
    <w:p w14:paraId="2E6864FE" w14:textId="2C84843C" w:rsidR="00231210" w:rsidRDefault="00231210" w:rsidP="00231210">
      <w:pPr>
        <w:pStyle w:val="ListParagraph"/>
        <w:numPr>
          <w:ilvl w:val="0"/>
          <w:numId w:val="15"/>
        </w:numPr>
        <w:spacing w:before="75" w:after="150" w:line="360" w:lineRule="atLeast"/>
        <w:rPr>
          <w:rFonts w:ascii="Arial" w:eastAsia="Times New Roman" w:hAnsi="Arial" w:cs="Arial"/>
          <w:color w:val="000000"/>
          <w:lang w:val="en" w:eastAsia="en-AU"/>
        </w:rPr>
      </w:pPr>
      <w:r>
        <w:rPr>
          <w:rFonts w:ascii="Arial" w:eastAsia="Times New Roman" w:hAnsi="Arial" w:cs="Arial"/>
          <w:color w:val="000000"/>
          <w:lang w:val="en" w:eastAsia="en-AU"/>
        </w:rPr>
        <w:t>Documentation of recent EIA projects across Victoria</w:t>
      </w:r>
    </w:p>
    <w:p w14:paraId="423069F6" w14:textId="24A179F3" w:rsidR="00DA2789" w:rsidRDefault="006F1A67" w:rsidP="00231210">
      <w:pPr>
        <w:pStyle w:val="ListParagraph"/>
        <w:numPr>
          <w:ilvl w:val="0"/>
          <w:numId w:val="15"/>
        </w:numPr>
        <w:spacing w:before="75" w:after="150" w:line="360" w:lineRule="atLeast"/>
        <w:rPr>
          <w:rFonts w:ascii="Arial" w:eastAsia="Times New Roman" w:hAnsi="Arial" w:cs="Arial"/>
          <w:color w:val="000000"/>
          <w:lang w:val="en" w:eastAsia="en-AU"/>
        </w:rPr>
      </w:pPr>
      <w:r>
        <w:rPr>
          <w:rFonts w:ascii="Arial" w:eastAsia="Times New Roman" w:hAnsi="Arial" w:cs="Arial"/>
          <w:color w:val="000000"/>
          <w:lang w:val="en" w:eastAsia="en-AU"/>
        </w:rPr>
        <w:t>O</w:t>
      </w:r>
      <w:r w:rsidR="00D2269C">
        <w:rPr>
          <w:rFonts w:ascii="Arial" w:eastAsia="Times New Roman" w:hAnsi="Arial" w:cs="Arial"/>
          <w:color w:val="000000"/>
          <w:lang w:val="en" w:eastAsia="en-AU"/>
        </w:rPr>
        <w:t xml:space="preserve">bservations </w:t>
      </w:r>
      <w:r w:rsidR="00231210">
        <w:rPr>
          <w:rFonts w:ascii="Arial" w:eastAsia="Times New Roman" w:hAnsi="Arial" w:cs="Arial"/>
          <w:color w:val="000000"/>
          <w:lang w:val="en" w:eastAsia="en-AU"/>
        </w:rPr>
        <w:t>received from I</w:t>
      </w:r>
      <w:r w:rsidR="0017174A">
        <w:rPr>
          <w:rFonts w:ascii="Arial" w:eastAsia="Times New Roman" w:hAnsi="Arial" w:cs="Arial"/>
          <w:color w:val="000000"/>
          <w:lang w:val="en" w:eastAsia="en-AU"/>
        </w:rPr>
        <w:t xml:space="preserve">mpact </w:t>
      </w:r>
      <w:r w:rsidR="00AA5D39">
        <w:rPr>
          <w:rFonts w:ascii="Arial" w:eastAsia="Times New Roman" w:hAnsi="Arial" w:cs="Arial"/>
          <w:color w:val="000000"/>
          <w:lang w:val="en" w:eastAsia="en-AU"/>
        </w:rPr>
        <w:t>Assessment practitioners</w:t>
      </w:r>
      <w:r>
        <w:rPr>
          <w:rFonts w:ascii="Arial" w:eastAsia="Times New Roman" w:hAnsi="Arial" w:cs="Arial"/>
          <w:color w:val="000000"/>
          <w:lang w:val="en" w:eastAsia="en-AU"/>
        </w:rPr>
        <w:t xml:space="preserve"> and community members involved in EIA’s</w:t>
      </w:r>
      <w:r w:rsidR="00231210">
        <w:rPr>
          <w:rFonts w:ascii="Arial" w:eastAsia="Times New Roman" w:hAnsi="Arial" w:cs="Arial"/>
          <w:color w:val="000000"/>
          <w:lang w:val="en" w:eastAsia="en-AU"/>
        </w:rPr>
        <w:t>.</w:t>
      </w:r>
    </w:p>
    <w:p w14:paraId="72D1B11C" w14:textId="5859452A" w:rsidR="00231210" w:rsidRPr="00231210" w:rsidRDefault="00FB44DE" w:rsidP="00231210">
      <w:pPr>
        <w:pStyle w:val="ListParagraph"/>
        <w:numPr>
          <w:ilvl w:val="0"/>
          <w:numId w:val="15"/>
        </w:numPr>
        <w:spacing w:before="75" w:after="150" w:line="360" w:lineRule="atLeast"/>
        <w:rPr>
          <w:rFonts w:ascii="Arial" w:eastAsia="Times New Roman" w:hAnsi="Arial" w:cs="Arial"/>
          <w:color w:val="000000"/>
          <w:lang w:val="en" w:eastAsia="en-AU"/>
        </w:rPr>
      </w:pPr>
      <w:r>
        <w:rPr>
          <w:rFonts w:ascii="Arial" w:eastAsia="Times New Roman" w:hAnsi="Arial" w:cs="Arial"/>
          <w:color w:val="000000"/>
          <w:lang w:val="en" w:eastAsia="en-AU"/>
        </w:rPr>
        <w:t>Personal ob</w:t>
      </w:r>
      <w:r w:rsidR="00DA2789">
        <w:rPr>
          <w:rFonts w:ascii="Arial" w:eastAsia="Times New Roman" w:hAnsi="Arial" w:cs="Arial"/>
          <w:color w:val="000000"/>
          <w:lang w:val="en" w:eastAsia="en-AU"/>
        </w:rPr>
        <w:t xml:space="preserve">servations as a community member living within the locality of a major road project undergoing EIA in </w:t>
      </w:r>
      <w:r w:rsidR="00D2269C">
        <w:rPr>
          <w:rFonts w:ascii="Arial" w:eastAsia="Times New Roman" w:hAnsi="Arial" w:cs="Arial"/>
          <w:color w:val="000000"/>
          <w:lang w:val="en" w:eastAsia="en-AU"/>
        </w:rPr>
        <w:t>Victoria.</w:t>
      </w:r>
    </w:p>
    <w:p w14:paraId="3EC37588" w14:textId="041AA967" w:rsidR="00764014" w:rsidRDefault="00231210" w:rsidP="00764014">
      <w:pPr>
        <w:spacing w:before="75" w:after="150" w:line="360" w:lineRule="atLeast"/>
        <w:rPr>
          <w:rFonts w:ascii="Arial" w:eastAsia="Times New Roman" w:hAnsi="Arial" w:cs="Arial"/>
          <w:color w:val="000000"/>
          <w:lang w:val="en" w:eastAsia="en-AU"/>
        </w:rPr>
      </w:pPr>
      <w:r>
        <w:rPr>
          <w:rFonts w:ascii="Arial" w:eastAsia="Times New Roman" w:hAnsi="Arial" w:cs="Arial"/>
          <w:color w:val="000000"/>
          <w:lang w:val="en" w:eastAsia="en-AU"/>
        </w:rPr>
        <w:t xml:space="preserve">The </w:t>
      </w:r>
      <w:r w:rsidR="000B65F1">
        <w:rPr>
          <w:rFonts w:ascii="Arial" w:eastAsia="Times New Roman" w:hAnsi="Arial" w:cs="Arial"/>
          <w:color w:val="000000"/>
          <w:lang w:val="en" w:eastAsia="en-AU"/>
        </w:rPr>
        <w:t>definition of ‘</w:t>
      </w:r>
      <w:r>
        <w:rPr>
          <w:rFonts w:ascii="Arial" w:eastAsia="Times New Roman" w:hAnsi="Arial" w:cs="Arial"/>
          <w:color w:val="000000"/>
          <w:lang w:val="en" w:eastAsia="en-AU"/>
        </w:rPr>
        <w:t>community</w:t>
      </w:r>
      <w:r w:rsidR="000B65F1">
        <w:rPr>
          <w:rFonts w:ascii="Arial" w:eastAsia="Times New Roman" w:hAnsi="Arial" w:cs="Arial"/>
          <w:color w:val="000000"/>
          <w:lang w:val="en" w:eastAsia="en-AU"/>
        </w:rPr>
        <w:t xml:space="preserve">’ </w:t>
      </w:r>
      <w:r>
        <w:rPr>
          <w:rFonts w:ascii="Arial" w:eastAsia="Times New Roman" w:hAnsi="Arial" w:cs="Arial"/>
          <w:color w:val="000000"/>
          <w:lang w:val="en" w:eastAsia="en-AU"/>
        </w:rPr>
        <w:t>for this p</w:t>
      </w:r>
      <w:r w:rsidR="000B65F1">
        <w:rPr>
          <w:rFonts w:ascii="Arial" w:eastAsia="Times New Roman" w:hAnsi="Arial" w:cs="Arial"/>
          <w:color w:val="000000"/>
          <w:lang w:val="en" w:eastAsia="en-AU"/>
        </w:rPr>
        <w:t>aper</w:t>
      </w:r>
      <w:r>
        <w:rPr>
          <w:rFonts w:ascii="Arial" w:eastAsia="Times New Roman" w:hAnsi="Arial" w:cs="Arial"/>
          <w:color w:val="000000"/>
          <w:lang w:val="en" w:eastAsia="en-AU"/>
        </w:rPr>
        <w:t xml:space="preserve"> is the </w:t>
      </w:r>
      <w:r w:rsidR="000B65F1">
        <w:rPr>
          <w:rFonts w:ascii="Arial" w:eastAsia="Times New Roman" w:hAnsi="Arial" w:cs="Arial"/>
          <w:color w:val="000000"/>
          <w:lang w:val="en" w:eastAsia="en-AU"/>
        </w:rPr>
        <w:t xml:space="preserve">residents, business and local government </w:t>
      </w:r>
      <w:r w:rsidRPr="00231210">
        <w:rPr>
          <w:rFonts w:ascii="Arial" w:eastAsia="Times New Roman" w:hAnsi="Arial" w:cs="Arial"/>
          <w:color w:val="000000"/>
          <w:lang w:val="en" w:eastAsia="en-AU"/>
        </w:rPr>
        <w:t xml:space="preserve">within or </w:t>
      </w:r>
      <w:r w:rsidR="0017174A" w:rsidRPr="00231210">
        <w:rPr>
          <w:rFonts w:ascii="Arial" w:eastAsia="Times New Roman" w:hAnsi="Arial" w:cs="Arial"/>
          <w:color w:val="000000"/>
          <w:lang w:val="en" w:eastAsia="en-AU"/>
        </w:rPr>
        <w:t>near</w:t>
      </w:r>
      <w:r w:rsidRPr="00231210">
        <w:rPr>
          <w:rFonts w:ascii="Arial" w:eastAsia="Times New Roman" w:hAnsi="Arial" w:cs="Arial"/>
          <w:color w:val="000000"/>
          <w:lang w:val="en" w:eastAsia="en-AU"/>
        </w:rPr>
        <w:t xml:space="preserve"> the project area.</w:t>
      </w:r>
    </w:p>
    <w:p w14:paraId="281E3CD7" w14:textId="77EA5C88" w:rsidR="005E69E5" w:rsidRDefault="005E69E5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EIA Process in Victoria, Australia</w:t>
      </w:r>
    </w:p>
    <w:p w14:paraId="05691B18" w14:textId="6FEC7BC1" w:rsidR="00B40974" w:rsidRDefault="00F264FD" w:rsidP="00B40974">
      <w:pPr>
        <w:spacing w:before="75" w:after="150" w:line="360" w:lineRule="atLeast"/>
        <w:rPr>
          <w:rFonts w:ascii="Arial" w:eastAsia="Times New Roman" w:hAnsi="Arial" w:cs="Arial"/>
          <w:lang w:val="en" w:eastAsia="en-AU"/>
        </w:rPr>
      </w:pPr>
      <w:r>
        <w:rPr>
          <w:rFonts w:ascii="Arial" w:eastAsia="Times New Roman" w:hAnsi="Arial" w:cs="Arial"/>
          <w:lang w:val="en" w:eastAsia="en-AU"/>
        </w:rPr>
        <w:t xml:space="preserve">The </w:t>
      </w:r>
      <w:r w:rsidRPr="00F264FD">
        <w:rPr>
          <w:rFonts w:ascii="Arial" w:eastAsia="Times New Roman" w:hAnsi="Arial" w:cs="Arial"/>
          <w:i/>
          <w:lang w:val="en" w:eastAsia="en-AU"/>
        </w:rPr>
        <w:t xml:space="preserve">‘Ministerial </w:t>
      </w:r>
      <w:r w:rsidR="009114C4">
        <w:rPr>
          <w:rFonts w:ascii="Arial" w:eastAsia="Times New Roman" w:hAnsi="Arial" w:cs="Arial"/>
          <w:i/>
          <w:lang w:val="en" w:eastAsia="en-AU"/>
        </w:rPr>
        <w:t>G</w:t>
      </w:r>
      <w:r w:rsidRPr="00F264FD">
        <w:rPr>
          <w:rFonts w:ascii="Arial" w:eastAsia="Times New Roman" w:hAnsi="Arial" w:cs="Arial"/>
          <w:i/>
          <w:lang w:val="en" w:eastAsia="en-AU"/>
        </w:rPr>
        <w:t xml:space="preserve">uidelines for </w:t>
      </w:r>
      <w:r w:rsidR="009114C4">
        <w:rPr>
          <w:rFonts w:ascii="Arial" w:eastAsia="Times New Roman" w:hAnsi="Arial" w:cs="Arial"/>
          <w:i/>
          <w:lang w:val="en" w:eastAsia="en-AU"/>
        </w:rPr>
        <w:t>A</w:t>
      </w:r>
      <w:r w:rsidRPr="00F264FD">
        <w:rPr>
          <w:rFonts w:ascii="Arial" w:eastAsia="Times New Roman" w:hAnsi="Arial" w:cs="Arial"/>
          <w:i/>
          <w:lang w:val="en" w:eastAsia="en-AU"/>
        </w:rPr>
        <w:t xml:space="preserve">ssessment of </w:t>
      </w:r>
      <w:r w:rsidR="009114C4">
        <w:rPr>
          <w:rFonts w:ascii="Arial" w:eastAsia="Times New Roman" w:hAnsi="Arial" w:cs="Arial"/>
          <w:i/>
          <w:lang w:val="en" w:eastAsia="en-AU"/>
        </w:rPr>
        <w:t>E</w:t>
      </w:r>
      <w:r w:rsidRPr="00F264FD">
        <w:rPr>
          <w:rFonts w:ascii="Arial" w:eastAsia="Times New Roman" w:hAnsi="Arial" w:cs="Arial"/>
          <w:i/>
          <w:lang w:val="en" w:eastAsia="en-AU"/>
        </w:rPr>
        <w:t xml:space="preserve">nvironmental </w:t>
      </w:r>
      <w:r w:rsidR="009114C4">
        <w:rPr>
          <w:rFonts w:ascii="Arial" w:eastAsia="Times New Roman" w:hAnsi="Arial" w:cs="Arial"/>
          <w:i/>
          <w:lang w:val="en" w:eastAsia="en-AU"/>
        </w:rPr>
        <w:t>E</w:t>
      </w:r>
      <w:r w:rsidRPr="00F264FD">
        <w:rPr>
          <w:rFonts w:ascii="Arial" w:eastAsia="Times New Roman" w:hAnsi="Arial" w:cs="Arial"/>
          <w:i/>
          <w:lang w:val="en" w:eastAsia="en-AU"/>
        </w:rPr>
        <w:t>ffects under the Environment Effects Act 1978’</w:t>
      </w:r>
      <w:r>
        <w:rPr>
          <w:rFonts w:ascii="Arial" w:eastAsia="Times New Roman" w:hAnsi="Arial" w:cs="Arial"/>
          <w:lang w:val="en" w:eastAsia="en-AU"/>
        </w:rPr>
        <w:t xml:space="preserve"> make it very clear that an E</w:t>
      </w:r>
      <w:r w:rsidR="0017174A">
        <w:rPr>
          <w:rFonts w:ascii="Arial" w:eastAsia="Times New Roman" w:hAnsi="Arial" w:cs="Arial"/>
          <w:lang w:val="en" w:eastAsia="en-AU"/>
        </w:rPr>
        <w:t xml:space="preserve">nvironment </w:t>
      </w:r>
      <w:r>
        <w:rPr>
          <w:rFonts w:ascii="Arial" w:eastAsia="Times New Roman" w:hAnsi="Arial" w:cs="Arial"/>
          <w:lang w:val="en" w:eastAsia="en-AU"/>
        </w:rPr>
        <w:t>E</w:t>
      </w:r>
      <w:r w:rsidR="0017174A">
        <w:rPr>
          <w:rFonts w:ascii="Arial" w:eastAsia="Times New Roman" w:hAnsi="Arial" w:cs="Arial"/>
          <w:lang w:val="en" w:eastAsia="en-AU"/>
        </w:rPr>
        <w:t xml:space="preserve">ffects </w:t>
      </w:r>
      <w:r>
        <w:rPr>
          <w:rFonts w:ascii="Arial" w:eastAsia="Times New Roman" w:hAnsi="Arial" w:cs="Arial"/>
          <w:lang w:val="en" w:eastAsia="en-AU"/>
        </w:rPr>
        <w:t>S</w:t>
      </w:r>
      <w:r w:rsidR="0017174A">
        <w:rPr>
          <w:rFonts w:ascii="Arial" w:eastAsia="Times New Roman" w:hAnsi="Arial" w:cs="Arial"/>
          <w:lang w:val="en" w:eastAsia="en-AU"/>
        </w:rPr>
        <w:t>tatement (EES)</w:t>
      </w:r>
      <w:r>
        <w:rPr>
          <w:rFonts w:ascii="Arial" w:eastAsia="Times New Roman" w:hAnsi="Arial" w:cs="Arial"/>
          <w:lang w:val="en" w:eastAsia="en-AU"/>
        </w:rPr>
        <w:t xml:space="preserve"> ‘</w:t>
      </w:r>
      <w:r w:rsidRPr="00D2269C">
        <w:rPr>
          <w:rFonts w:ascii="Arial" w:eastAsia="Times New Roman" w:hAnsi="Arial" w:cs="Arial"/>
          <w:i/>
          <w:lang w:val="en" w:eastAsia="en-AU"/>
        </w:rPr>
        <w:t xml:space="preserve">provides for assessment of </w:t>
      </w:r>
      <w:r w:rsidRPr="00D2269C">
        <w:rPr>
          <w:rFonts w:ascii="Arial" w:eastAsia="Times New Roman" w:hAnsi="Arial" w:cs="Arial"/>
          <w:i/>
          <w:u w:val="single"/>
          <w:lang w:val="en" w:eastAsia="en-AU"/>
        </w:rPr>
        <w:t>proposed projects</w:t>
      </w:r>
      <w:r w:rsidRPr="00D2269C">
        <w:rPr>
          <w:rFonts w:ascii="Arial" w:eastAsia="Times New Roman" w:hAnsi="Arial" w:cs="Arial"/>
          <w:i/>
          <w:lang w:val="en" w:eastAsia="en-AU"/>
        </w:rPr>
        <w:t xml:space="preserve"> (works) that are capable of having a significant effect on the environment</w:t>
      </w:r>
      <w:r>
        <w:rPr>
          <w:rFonts w:ascii="Arial" w:eastAsia="Times New Roman" w:hAnsi="Arial" w:cs="Arial"/>
          <w:lang w:val="en" w:eastAsia="en-AU"/>
        </w:rPr>
        <w:t>.’</w:t>
      </w:r>
      <w:r w:rsidR="008569C4">
        <w:rPr>
          <w:rFonts w:ascii="Arial" w:eastAsia="Times New Roman" w:hAnsi="Arial" w:cs="Arial"/>
          <w:lang w:val="en" w:eastAsia="en-AU"/>
        </w:rPr>
        <w:t xml:space="preserve"> The objective of the </w:t>
      </w:r>
      <w:r w:rsidR="009114C4">
        <w:rPr>
          <w:rFonts w:ascii="Arial" w:eastAsia="Times New Roman" w:hAnsi="Arial" w:cs="Arial"/>
          <w:lang w:val="en" w:eastAsia="en-AU"/>
        </w:rPr>
        <w:t>Act i</w:t>
      </w:r>
      <w:r w:rsidR="008569C4">
        <w:rPr>
          <w:rFonts w:ascii="Arial" w:eastAsia="Times New Roman" w:hAnsi="Arial" w:cs="Arial"/>
          <w:lang w:val="en" w:eastAsia="en-AU"/>
        </w:rPr>
        <w:t xml:space="preserve">s to provide for </w:t>
      </w:r>
      <w:r w:rsidR="009114C4">
        <w:rPr>
          <w:rFonts w:ascii="Arial" w:eastAsia="Times New Roman" w:hAnsi="Arial" w:cs="Arial"/>
          <w:lang w:val="en" w:eastAsia="en-AU"/>
        </w:rPr>
        <w:t xml:space="preserve">environmental </w:t>
      </w:r>
      <w:r w:rsidR="008569C4">
        <w:rPr>
          <w:rFonts w:ascii="Arial" w:eastAsia="Times New Roman" w:hAnsi="Arial" w:cs="Arial"/>
          <w:lang w:val="en" w:eastAsia="en-AU"/>
        </w:rPr>
        <w:t xml:space="preserve">assessment </w:t>
      </w:r>
      <w:r w:rsidR="00B06E45">
        <w:rPr>
          <w:rFonts w:ascii="Arial" w:eastAsia="Times New Roman" w:hAnsi="Arial" w:cs="Arial"/>
          <w:lang w:val="en" w:eastAsia="en-AU"/>
        </w:rPr>
        <w:t xml:space="preserve">not </w:t>
      </w:r>
      <w:r w:rsidR="00E43300">
        <w:rPr>
          <w:rFonts w:ascii="Arial" w:eastAsia="Times New Roman" w:hAnsi="Arial" w:cs="Arial"/>
          <w:lang w:val="en" w:eastAsia="en-AU"/>
        </w:rPr>
        <w:t xml:space="preserve">the </w:t>
      </w:r>
      <w:r w:rsidR="00B06E45">
        <w:rPr>
          <w:rFonts w:ascii="Arial" w:eastAsia="Times New Roman" w:hAnsi="Arial" w:cs="Arial"/>
          <w:lang w:val="en" w:eastAsia="en-AU"/>
        </w:rPr>
        <w:t>assess</w:t>
      </w:r>
      <w:r w:rsidR="009114C4">
        <w:rPr>
          <w:rFonts w:ascii="Arial" w:eastAsia="Times New Roman" w:hAnsi="Arial" w:cs="Arial"/>
          <w:lang w:val="en" w:eastAsia="en-AU"/>
        </w:rPr>
        <w:t xml:space="preserve">ment </w:t>
      </w:r>
      <w:r w:rsidR="00B06E45">
        <w:rPr>
          <w:rFonts w:ascii="Arial" w:eastAsia="Times New Roman" w:hAnsi="Arial" w:cs="Arial"/>
          <w:lang w:val="en" w:eastAsia="en-AU"/>
        </w:rPr>
        <w:t xml:space="preserve">of the </w:t>
      </w:r>
      <w:r w:rsidR="009114C4">
        <w:rPr>
          <w:rFonts w:ascii="Arial" w:eastAsia="Times New Roman" w:hAnsi="Arial" w:cs="Arial"/>
          <w:lang w:val="en" w:eastAsia="en-AU"/>
        </w:rPr>
        <w:t xml:space="preserve">EIA </w:t>
      </w:r>
      <w:r w:rsidR="00B06E45">
        <w:rPr>
          <w:rFonts w:ascii="Arial" w:eastAsia="Times New Roman" w:hAnsi="Arial" w:cs="Arial"/>
          <w:lang w:val="en" w:eastAsia="en-AU"/>
        </w:rPr>
        <w:t>process</w:t>
      </w:r>
      <w:r w:rsidR="009114C4">
        <w:rPr>
          <w:rFonts w:ascii="Arial" w:eastAsia="Times New Roman" w:hAnsi="Arial" w:cs="Arial"/>
          <w:lang w:val="en" w:eastAsia="en-AU"/>
        </w:rPr>
        <w:t xml:space="preserve"> impacts.</w:t>
      </w:r>
      <w:r w:rsidR="00B06E45">
        <w:rPr>
          <w:rFonts w:ascii="Arial" w:eastAsia="Times New Roman" w:hAnsi="Arial" w:cs="Arial"/>
          <w:lang w:val="en" w:eastAsia="en-AU"/>
        </w:rPr>
        <w:t xml:space="preserve"> </w:t>
      </w:r>
      <w:r w:rsidR="009114C4">
        <w:rPr>
          <w:rFonts w:ascii="Arial" w:eastAsia="Times New Roman" w:hAnsi="Arial" w:cs="Arial"/>
          <w:lang w:val="en" w:eastAsia="en-AU"/>
        </w:rPr>
        <w:t>H</w:t>
      </w:r>
      <w:r w:rsidR="00B06E45">
        <w:rPr>
          <w:rFonts w:ascii="Arial" w:eastAsia="Times New Roman" w:hAnsi="Arial" w:cs="Arial"/>
          <w:lang w:val="en" w:eastAsia="en-AU"/>
        </w:rPr>
        <w:t>owever</w:t>
      </w:r>
      <w:r w:rsidR="009114C4">
        <w:rPr>
          <w:rFonts w:ascii="Arial" w:eastAsia="Times New Roman" w:hAnsi="Arial" w:cs="Arial"/>
          <w:lang w:val="en" w:eastAsia="en-AU"/>
        </w:rPr>
        <w:t>,</w:t>
      </w:r>
      <w:r w:rsidR="00B06E45">
        <w:rPr>
          <w:rFonts w:ascii="Arial" w:eastAsia="Times New Roman" w:hAnsi="Arial" w:cs="Arial"/>
          <w:lang w:val="en" w:eastAsia="en-AU"/>
        </w:rPr>
        <w:t xml:space="preserve"> </w:t>
      </w:r>
      <w:r w:rsidR="00D2269C">
        <w:rPr>
          <w:rFonts w:ascii="Arial" w:eastAsia="Times New Roman" w:hAnsi="Arial" w:cs="Arial"/>
          <w:lang w:val="en" w:eastAsia="en-AU"/>
        </w:rPr>
        <w:t xml:space="preserve">due to the nature, scale and time involved in EIA projects, should the </w:t>
      </w:r>
      <w:r w:rsidR="00B06E45">
        <w:rPr>
          <w:rFonts w:ascii="Arial" w:eastAsia="Times New Roman" w:hAnsi="Arial" w:cs="Arial"/>
          <w:lang w:val="en" w:eastAsia="en-AU"/>
        </w:rPr>
        <w:t>impacts on communities be assessed as part of the process?</w:t>
      </w:r>
    </w:p>
    <w:p w14:paraId="106D70F5" w14:textId="0425D76E" w:rsidR="00B06E45" w:rsidRDefault="00B06E45" w:rsidP="00B40974">
      <w:pPr>
        <w:spacing w:before="75" w:after="150" w:line="360" w:lineRule="atLeast"/>
        <w:rPr>
          <w:rFonts w:ascii="Arial" w:eastAsia="Times New Roman" w:hAnsi="Arial" w:cs="Arial"/>
          <w:color w:val="000000"/>
          <w:lang w:val="en" w:eastAsia="en-AU"/>
        </w:rPr>
      </w:pPr>
      <w:r>
        <w:rPr>
          <w:rFonts w:ascii="Arial" w:eastAsia="Times New Roman" w:hAnsi="Arial" w:cs="Arial"/>
          <w:lang w:val="en" w:eastAsia="en-AU"/>
        </w:rPr>
        <w:t>In Victoria</w:t>
      </w:r>
      <w:r w:rsidRPr="00B06E45">
        <w:rPr>
          <w:rFonts w:ascii="Arial" w:eastAsia="Times New Roman" w:hAnsi="Arial" w:cs="Arial"/>
          <w:lang w:val="en" w:eastAsia="en-AU"/>
        </w:rPr>
        <w:t xml:space="preserve">, </w:t>
      </w:r>
      <w:r w:rsidRPr="00B06E45">
        <w:rPr>
          <w:rFonts w:ascii="Arial" w:eastAsia="Times New Roman" w:hAnsi="Arial" w:cs="Arial"/>
          <w:color w:val="000000"/>
          <w:lang w:val="en" w:eastAsia="en-AU"/>
        </w:rPr>
        <w:t xml:space="preserve">an EES is required for only a handful of generally very </w:t>
      </w:r>
      <w:r w:rsidR="00853EF2" w:rsidRPr="00B06E45">
        <w:rPr>
          <w:rFonts w:ascii="Arial" w:eastAsia="Times New Roman" w:hAnsi="Arial" w:cs="Arial"/>
          <w:color w:val="000000"/>
          <w:lang w:val="en" w:eastAsia="en-AU"/>
        </w:rPr>
        <w:t>large-scale</w:t>
      </w:r>
      <w:r w:rsidRPr="00B06E45">
        <w:rPr>
          <w:rFonts w:ascii="Arial" w:eastAsia="Times New Roman" w:hAnsi="Arial" w:cs="Arial"/>
          <w:color w:val="000000"/>
          <w:lang w:val="en" w:eastAsia="en-AU"/>
        </w:rPr>
        <w:t xml:space="preserve"> proposals each year, and the fact that an EES is required </w:t>
      </w:r>
      <w:r w:rsidR="009114C4">
        <w:rPr>
          <w:rFonts w:ascii="Arial" w:eastAsia="Times New Roman" w:hAnsi="Arial" w:cs="Arial"/>
          <w:color w:val="000000"/>
          <w:lang w:val="en" w:eastAsia="en-AU"/>
        </w:rPr>
        <w:t xml:space="preserve">alone </w:t>
      </w:r>
      <w:r w:rsidRPr="00B06E45">
        <w:rPr>
          <w:rFonts w:ascii="Arial" w:eastAsia="Times New Roman" w:hAnsi="Arial" w:cs="Arial"/>
          <w:color w:val="000000"/>
          <w:lang w:val="en" w:eastAsia="en-AU"/>
        </w:rPr>
        <w:t>can substantially raise the profile and public awareness of the project</w:t>
      </w:r>
      <w:r>
        <w:rPr>
          <w:rFonts w:ascii="Arial" w:eastAsia="Times New Roman" w:hAnsi="Arial" w:cs="Arial"/>
          <w:color w:val="000000"/>
          <w:lang w:val="en" w:eastAsia="en-AU"/>
        </w:rPr>
        <w:t xml:space="preserve">. </w:t>
      </w:r>
      <w:r w:rsidR="00E45FEB">
        <w:rPr>
          <w:rFonts w:ascii="Arial" w:eastAsia="Times New Roman" w:hAnsi="Arial" w:cs="Arial"/>
          <w:color w:val="000000"/>
          <w:lang w:val="en" w:eastAsia="en-AU"/>
        </w:rPr>
        <w:t xml:space="preserve">Currently, there are twelve </w:t>
      </w:r>
      <w:r w:rsidR="0053344E">
        <w:rPr>
          <w:rStyle w:val="FootnoteReference"/>
          <w:rFonts w:ascii="Arial" w:eastAsia="Times New Roman" w:hAnsi="Arial" w:cs="Arial"/>
          <w:color w:val="000000"/>
          <w:lang w:val="en" w:eastAsia="en-AU"/>
        </w:rPr>
        <w:footnoteReference w:id="1"/>
      </w:r>
      <w:r>
        <w:rPr>
          <w:rFonts w:ascii="Arial" w:eastAsia="Times New Roman" w:hAnsi="Arial" w:cs="Arial"/>
          <w:color w:val="000000"/>
          <w:lang w:val="en" w:eastAsia="en-AU"/>
        </w:rPr>
        <w:t xml:space="preserve">EES‘s </w:t>
      </w:r>
      <w:r w:rsidR="00E45FEB">
        <w:rPr>
          <w:rFonts w:ascii="Arial" w:eastAsia="Times New Roman" w:hAnsi="Arial" w:cs="Arial"/>
          <w:color w:val="000000"/>
          <w:lang w:val="en" w:eastAsia="en-AU"/>
        </w:rPr>
        <w:t xml:space="preserve">in progress </w:t>
      </w:r>
      <w:r>
        <w:rPr>
          <w:rFonts w:ascii="Arial" w:eastAsia="Times New Roman" w:hAnsi="Arial" w:cs="Arial"/>
          <w:color w:val="000000"/>
          <w:lang w:val="en" w:eastAsia="en-AU"/>
        </w:rPr>
        <w:t>in Victoria</w:t>
      </w:r>
      <w:r w:rsidR="00E45FEB">
        <w:rPr>
          <w:rFonts w:ascii="Arial" w:eastAsia="Times New Roman" w:hAnsi="Arial" w:cs="Arial"/>
          <w:color w:val="000000"/>
          <w:lang w:val="en" w:eastAsia="en-AU"/>
        </w:rPr>
        <w:t>, the majority of which have feature</w:t>
      </w:r>
      <w:r w:rsidR="009114C4">
        <w:rPr>
          <w:rFonts w:ascii="Arial" w:eastAsia="Times New Roman" w:hAnsi="Arial" w:cs="Arial"/>
          <w:color w:val="000000"/>
          <w:lang w:val="en" w:eastAsia="en-AU"/>
        </w:rPr>
        <w:t>d</w:t>
      </w:r>
      <w:r w:rsidR="00E45FEB">
        <w:rPr>
          <w:rFonts w:ascii="Arial" w:eastAsia="Times New Roman" w:hAnsi="Arial" w:cs="Arial"/>
          <w:color w:val="000000"/>
          <w:lang w:val="en" w:eastAsia="en-AU"/>
        </w:rPr>
        <w:t xml:space="preserve"> in local or regional media during the assessment process</w:t>
      </w:r>
      <w:r w:rsidR="00D2269C">
        <w:rPr>
          <w:rFonts w:ascii="Arial" w:eastAsia="Times New Roman" w:hAnsi="Arial" w:cs="Arial"/>
          <w:color w:val="000000"/>
          <w:lang w:val="en" w:eastAsia="en-AU"/>
        </w:rPr>
        <w:t>.</w:t>
      </w:r>
    </w:p>
    <w:p w14:paraId="5B244329" w14:textId="5EE7E805" w:rsidR="00B40974" w:rsidRPr="0084158C" w:rsidRDefault="00B06E45" w:rsidP="00B40974">
      <w:pPr>
        <w:spacing w:before="75" w:after="150" w:line="360" w:lineRule="atLeast"/>
        <w:rPr>
          <w:rFonts w:ascii="Arial" w:eastAsia="Times New Roman" w:hAnsi="Arial" w:cs="Arial"/>
          <w:color w:val="000000"/>
          <w:lang w:val="en" w:eastAsia="en-AU"/>
        </w:rPr>
      </w:pPr>
      <w:r>
        <w:rPr>
          <w:rFonts w:ascii="Arial" w:eastAsia="Times New Roman" w:hAnsi="Arial" w:cs="Arial"/>
          <w:color w:val="000000"/>
          <w:lang w:val="en" w:eastAsia="en-AU"/>
        </w:rPr>
        <w:t>The length of time taken for project development, assessment and decision also provides a</w:t>
      </w:r>
      <w:r w:rsidR="00427DB9">
        <w:rPr>
          <w:rFonts w:ascii="Arial" w:eastAsia="Times New Roman" w:hAnsi="Arial" w:cs="Arial"/>
          <w:color w:val="000000"/>
          <w:lang w:val="en" w:eastAsia="en-AU"/>
        </w:rPr>
        <w:t>n</w:t>
      </w:r>
      <w:r>
        <w:rPr>
          <w:rFonts w:ascii="Arial" w:eastAsia="Times New Roman" w:hAnsi="Arial" w:cs="Arial"/>
          <w:color w:val="000000"/>
          <w:lang w:val="en" w:eastAsia="en-AU"/>
        </w:rPr>
        <w:t xml:space="preserve"> ongoing presence in a community</w:t>
      </w:r>
      <w:r w:rsidR="00D2269C">
        <w:rPr>
          <w:rFonts w:ascii="Arial" w:eastAsia="Times New Roman" w:hAnsi="Arial" w:cs="Arial"/>
          <w:color w:val="000000"/>
          <w:lang w:val="en" w:eastAsia="en-AU"/>
        </w:rPr>
        <w:t xml:space="preserve"> </w:t>
      </w:r>
      <w:r>
        <w:rPr>
          <w:rFonts w:ascii="Arial" w:eastAsia="Times New Roman" w:hAnsi="Arial" w:cs="Arial"/>
          <w:color w:val="000000"/>
          <w:lang w:val="en" w:eastAsia="en-AU"/>
        </w:rPr>
        <w:t xml:space="preserve">and draws out the assessment time. </w:t>
      </w:r>
      <w:r w:rsidR="006F1A67">
        <w:rPr>
          <w:rFonts w:ascii="Arial" w:eastAsia="Times New Roman" w:hAnsi="Arial" w:cs="Arial"/>
          <w:color w:val="000000"/>
          <w:lang w:val="en" w:eastAsia="en-AU"/>
        </w:rPr>
        <w:t xml:space="preserve"> </w:t>
      </w:r>
      <w:r>
        <w:rPr>
          <w:rFonts w:ascii="Arial" w:eastAsia="Times New Roman" w:hAnsi="Arial" w:cs="Arial"/>
          <w:color w:val="000000"/>
          <w:lang w:val="en" w:eastAsia="en-AU"/>
        </w:rPr>
        <w:t>Some E</w:t>
      </w:r>
      <w:r w:rsidR="00D2269C">
        <w:rPr>
          <w:rFonts w:ascii="Arial" w:eastAsia="Times New Roman" w:hAnsi="Arial" w:cs="Arial"/>
          <w:color w:val="000000"/>
          <w:lang w:val="en" w:eastAsia="en-AU"/>
        </w:rPr>
        <w:t xml:space="preserve">IA take over </w:t>
      </w:r>
      <w:r w:rsidR="0017174A">
        <w:rPr>
          <w:rFonts w:ascii="Arial" w:eastAsia="Times New Roman" w:hAnsi="Arial" w:cs="Arial"/>
          <w:color w:val="000000"/>
          <w:lang w:val="en" w:eastAsia="en-AU"/>
        </w:rPr>
        <w:t>two</w:t>
      </w:r>
      <w:r w:rsidR="00D2269C">
        <w:rPr>
          <w:rFonts w:ascii="Arial" w:eastAsia="Times New Roman" w:hAnsi="Arial" w:cs="Arial"/>
          <w:color w:val="000000"/>
          <w:lang w:val="en" w:eastAsia="en-AU"/>
        </w:rPr>
        <w:t xml:space="preserve"> years to complete from commencement to decision</w:t>
      </w:r>
      <w:r w:rsidR="00D64214">
        <w:rPr>
          <w:rStyle w:val="FootnoteReference"/>
          <w:rFonts w:ascii="Arial" w:eastAsia="Times New Roman" w:hAnsi="Arial" w:cs="Arial"/>
          <w:color w:val="000000"/>
          <w:lang w:val="en" w:eastAsia="en-AU"/>
        </w:rPr>
        <w:footnoteReference w:id="2"/>
      </w:r>
      <w:r w:rsidR="00D2269C">
        <w:rPr>
          <w:rFonts w:ascii="Arial" w:eastAsia="Times New Roman" w:hAnsi="Arial" w:cs="Arial"/>
          <w:color w:val="000000"/>
          <w:lang w:val="en" w:eastAsia="en-AU"/>
        </w:rPr>
        <w:t xml:space="preserve">, whilst the construction time of a project could be less </w:t>
      </w:r>
      <w:r w:rsidR="0084158C">
        <w:rPr>
          <w:rFonts w:ascii="Arial" w:eastAsia="Times New Roman" w:hAnsi="Arial" w:cs="Arial"/>
          <w:color w:val="000000"/>
          <w:lang w:val="en" w:eastAsia="en-AU"/>
        </w:rPr>
        <w:t>than the assessment</w:t>
      </w:r>
      <w:r w:rsidR="009114C4">
        <w:rPr>
          <w:rFonts w:ascii="Arial" w:eastAsia="Times New Roman" w:hAnsi="Arial" w:cs="Arial"/>
          <w:color w:val="000000"/>
          <w:lang w:val="en" w:eastAsia="en-AU"/>
        </w:rPr>
        <w:t xml:space="preserve"> for some projects</w:t>
      </w:r>
      <w:r w:rsidR="00D2269C">
        <w:rPr>
          <w:rFonts w:ascii="Arial" w:eastAsia="Times New Roman" w:hAnsi="Arial" w:cs="Arial"/>
          <w:color w:val="000000"/>
          <w:lang w:val="en" w:eastAsia="en-AU"/>
        </w:rPr>
        <w:t xml:space="preserve">. Still, we only consider the </w:t>
      </w:r>
      <w:r w:rsidR="0084158C">
        <w:rPr>
          <w:rFonts w:ascii="Arial" w:eastAsia="Times New Roman" w:hAnsi="Arial" w:cs="Arial"/>
          <w:color w:val="000000"/>
          <w:lang w:val="en" w:eastAsia="en-AU"/>
        </w:rPr>
        <w:t>environmental</w:t>
      </w:r>
      <w:r w:rsidR="00D2269C">
        <w:rPr>
          <w:rFonts w:ascii="Arial" w:eastAsia="Times New Roman" w:hAnsi="Arial" w:cs="Arial"/>
          <w:color w:val="000000"/>
          <w:lang w:val="en" w:eastAsia="en-AU"/>
        </w:rPr>
        <w:t xml:space="preserve"> effects of the construction and operations period, not the </w:t>
      </w:r>
      <w:r w:rsidR="0084158C">
        <w:rPr>
          <w:rFonts w:ascii="Arial" w:eastAsia="Times New Roman" w:hAnsi="Arial" w:cs="Arial"/>
          <w:color w:val="000000"/>
          <w:lang w:val="en" w:eastAsia="en-AU"/>
        </w:rPr>
        <w:t xml:space="preserve">impacts of the </w:t>
      </w:r>
      <w:r w:rsidR="00D2269C">
        <w:rPr>
          <w:rFonts w:ascii="Arial" w:eastAsia="Times New Roman" w:hAnsi="Arial" w:cs="Arial"/>
          <w:color w:val="000000"/>
          <w:lang w:val="en" w:eastAsia="en-AU"/>
        </w:rPr>
        <w:t>assessment period.</w:t>
      </w:r>
      <w:r w:rsidR="006F1A67">
        <w:rPr>
          <w:rFonts w:ascii="Arial" w:eastAsia="Times New Roman" w:hAnsi="Arial" w:cs="Arial"/>
          <w:color w:val="000000"/>
          <w:lang w:val="en" w:eastAsia="en-AU"/>
        </w:rPr>
        <w:t xml:space="preserve"> Further to this, the </w:t>
      </w:r>
      <w:r w:rsidR="00D64214">
        <w:rPr>
          <w:rFonts w:ascii="Arial" w:eastAsia="Times New Roman" w:hAnsi="Arial" w:cs="Arial"/>
          <w:color w:val="000000"/>
          <w:lang w:val="en" w:eastAsia="en-AU"/>
        </w:rPr>
        <w:t xml:space="preserve">Scoping Requirements of </w:t>
      </w:r>
      <w:r w:rsidR="006F1A67">
        <w:rPr>
          <w:rFonts w:ascii="Arial" w:eastAsia="Times New Roman" w:hAnsi="Arial" w:cs="Arial"/>
          <w:color w:val="000000"/>
          <w:lang w:val="en" w:eastAsia="en-AU"/>
        </w:rPr>
        <w:t xml:space="preserve">social impact assessment in Victoria </w:t>
      </w:r>
      <w:r w:rsidR="00D64214">
        <w:rPr>
          <w:rFonts w:ascii="Arial" w:eastAsia="Times New Roman" w:hAnsi="Arial" w:cs="Arial"/>
          <w:color w:val="000000"/>
          <w:lang w:val="en" w:eastAsia="en-AU"/>
        </w:rPr>
        <w:t xml:space="preserve">to date have not </w:t>
      </w:r>
      <w:r w:rsidR="006F1A67">
        <w:rPr>
          <w:rFonts w:ascii="Arial" w:eastAsia="Times New Roman" w:hAnsi="Arial" w:cs="Arial"/>
          <w:color w:val="000000"/>
          <w:lang w:val="en" w:eastAsia="en-AU"/>
        </w:rPr>
        <w:t>required consider</w:t>
      </w:r>
      <w:r w:rsidR="00D64214">
        <w:rPr>
          <w:rFonts w:ascii="Arial" w:eastAsia="Times New Roman" w:hAnsi="Arial" w:cs="Arial"/>
          <w:color w:val="000000"/>
          <w:lang w:val="en" w:eastAsia="en-AU"/>
        </w:rPr>
        <w:t>ation of</w:t>
      </w:r>
      <w:r w:rsidR="006F1A67">
        <w:rPr>
          <w:rFonts w:ascii="Arial" w:eastAsia="Times New Roman" w:hAnsi="Arial" w:cs="Arial"/>
          <w:color w:val="000000"/>
          <w:lang w:val="en" w:eastAsia="en-AU"/>
        </w:rPr>
        <w:t xml:space="preserve"> the impact of the </w:t>
      </w:r>
      <w:r w:rsidR="00D64214">
        <w:rPr>
          <w:rFonts w:ascii="Arial" w:eastAsia="Times New Roman" w:hAnsi="Arial" w:cs="Arial"/>
          <w:color w:val="000000"/>
          <w:lang w:val="en" w:eastAsia="en-AU"/>
        </w:rPr>
        <w:t>assessment process on the community</w:t>
      </w:r>
      <w:r w:rsidR="006F1A67">
        <w:rPr>
          <w:rFonts w:ascii="Arial" w:eastAsia="Times New Roman" w:hAnsi="Arial" w:cs="Arial"/>
          <w:color w:val="000000"/>
          <w:lang w:val="en" w:eastAsia="en-AU"/>
        </w:rPr>
        <w:t>.</w:t>
      </w:r>
    </w:p>
    <w:p w14:paraId="608FCB56" w14:textId="76E47987" w:rsidR="005E69E5" w:rsidRDefault="0084158C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Impacts </w:t>
      </w:r>
      <w:r w:rsidR="005E69E5">
        <w:rPr>
          <w:rFonts w:ascii="Arial Unicode MS" w:eastAsia="Arial Unicode MS" w:hAnsi="Arial Unicode MS" w:cs="Arial Unicode MS"/>
          <w:b/>
          <w:sz w:val="28"/>
          <w:szCs w:val="28"/>
        </w:rPr>
        <w:t>of the EIA process on communities</w:t>
      </w:r>
    </w:p>
    <w:p w14:paraId="592FF19E" w14:textId="4324932C" w:rsidR="00EA32DF" w:rsidRDefault="006012E7" w:rsidP="00982239">
      <w:pPr>
        <w:spacing w:before="75" w:after="150" w:line="360" w:lineRule="atLeast"/>
        <w:rPr>
          <w:rFonts w:ascii="Arial" w:eastAsia="Times New Roman" w:hAnsi="Arial" w:cs="Arial"/>
          <w:color w:val="000000"/>
          <w:lang w:val="en" w:eastAsia="en-AU"/>
        </w:rPr>
      </w:pPr>
      <w:r>
        <w:rPr>
          <w:rFonts w:ascii="Arial" w:eastAsia="Times New Roman" w:hAnsi="Arial" w:cs="Arial"/>
          <w:color w:val="000000"/>
          <w:lang w:val="en" w:eastAsia="en-AU"/>
        </w:rPr>
        <w:t>In the absence of published material documenting the impacts of the EIA process</w:t>
      </w:r>
      <w:r w:rsidR="00316365">
        <w:rPr>
          <w:rFonts w:ascii="Arial" w:eastAsia="Times New Roman" w:hAnsi="Arial" w:cs="Arial"/>
          <w:color w:val="000000"/>
          <w:lang w:val="en" w:eastAsia="en-AU"/>
        </w:rPr>
        <w:t xml:space="preserve">, </w:t>
      </w:r>
      <w:r w:rsidR="009114C4">
        <w:rPr>
          <w:rFonts w:ascii="Arial" w:eastAsia="Times New Roman" w:hAnsi="Arial" w:cs="Arial"/>
          <w:color w:val="000000"/>
          <w:lang w:val="en" w:eastAsia="en-AU"/>
        </w:rPr>
        <w:t xml:space="preserve">primary research was </w:t>
      </w:r>
      <w:r w:rsidR="006A70B5">
        <w:rPr>
          <w:rFonts w:ascii="Arial" w:eastAsia="Times New Roman" w:hAnsi="Arial" w:cs="Arial"/>
          <w:color w:val="000000"/>
          <w:lang w:val="en" w:eastAsia="en-AU"/>
        </w:rPr>
        <w:t xml:space="preserve">gathered in the form of observations from </w:t>
      </w:r>
      <w:r w:rsidR="00101892">
        <w:rPr>
          <w:rFonts w:ascii="Arial" w:eastAsia="Times New Roman" w:hAnsi="Arial" w:cs="Arial"/>
          <w:color w:val="000000"/>
          <w:lang w:val="en" w:eastAsia="en-AU"/>
        </w:rPr>
        <w:t xml:space="preserve">approximately 20 </w:t>
      </w:r>
      <w:r w:rsidR="006A70B5">
        <w:rPr>
          <w:rFonts w:ascii="Arial" w:eastAsia="Times New Roman" w:hAnsi="Arial" w:cs="Arial"/>
          <w:color w:val="000000"/>
          <w:lang w:val="en" w:eastAsia="en-AU"/>
        </w:rPr>
        <w:t xml:space="preserve">EIA practitioners and </w:t>
      </w:r>
      <w:r w:rsidR="00E64856">
        <w:rPr>
          <w:rFonts w:ascii="Arial" w:eastAsia="Times New Roman" w:hAnsi="Arial" w:cs="Arial"/>
          <w:color w:val="000000"/>
          <w:lang w:val="en" w:eastAsia="en-AU"/>
        </w:rPr>
        <w:lastRenderedPageBreak/>
        <w:t xml:space="preserve">15 to 20 </w:t>
      </w:r>
      <w:r w:rsidR="006A70B5">
        <w:rPr>
          <w:rFonts w:ascii="Arial" w:eastAsia="Times New Roman" w:hAnsi="Arial" w:cs="Arial"/>
          <w:color w:val="000000"/>
          <w:lang w:val="en" w:eastAsia="en-AU"/>
        </w:rPr>
        <w:t>community members</w:t>
      </w:r>
      <w:r w:rsidR="00E64856">
        <w:rPr>
          <w:rFonts w:ascii="Arial" w:eastAsia="Times New Roman" w:hAnsi="Arial" w:cs="Arial"/>
          <w:color w:val="000000"/>
          <w:lang w:val="en" w:eastAsia="en-AU"/>
        </w:rPr>
        <w:t>, over approximately five EIA projects</w:t>
      </w:r>
      <w:r w:rsidR="006A70B5">
        <w:rPr>
          <w:rFonts w:ascii="Arial" w:eastAsia="Times New Roman" w:hAnsi="Arial" w:cs="Arial"/>
          <w:color w:val="000000"/>
          <w:lang w:val="en" w:eastAsia="en-AU"/>
        </w:rPr>
        <w:t xml:space="preserve"> </w:t>
      </w:r>
      <w:r>
        <w:rPr>
          <w:rFonts w:ascii="Arial" w:eastAsia="Times New Roman" w:hAnsi="Arial" w:cs="Arial"/>
          <w:color w:val="000000"/>
          <w:lang w:val="en" w:eastAsia="en-AU"/>
        </w:rPr>
        <w:t xml:space="preserve">to </w:t>
      </w:r>
      <w:r w:rsidR="006A70B5">
        <w:rPr>
          <w:rFonts w:ascii="Arial" w:eastAsia="Times New Roman" w:hAnsi="Arial" w:cs="Arial"/>
          <w:color w:val="000000"/>
          <w:lang w:val="en" w:eastAsia="en-AU"/>
        </w:rPr>
        <w:t xml:space="preserve">attempt to </w:t>
      </w:r>
      <w:r>
        <w:rPr>
          <w:rFonts w:ascii="Arial" w:eastAsia="Times New Roman" w:hAnsi="Arial" w:cs="Arial"/>
          <w:color w:val="000000"/>
          <w:lang w:val="en" w:eastAsia="en-AU"/>
        </w:rPr>
        <w:t xml:space="preserve">identify </w:t>
      </w:r>
      <w:r w:rsidR="00E43300">
        <w:rPr>
          <w:rFonts w:ascii="Arial" w:eastAsia="Times New Roman" w:hAnsi="Arial" w:cs="Arial"/>
          <w:color w:val="000000"/>
          <w:lang w:val="en" w:eastAsia="en-AU"/>
        </w:rPr>
        <w:t xml:space="preserve">primary </w:t>
      </w:r>
      <w:r w:rsidR="00316365">
        <w:rPr>
          <w:rFonts w:ascii="Arial" w:eastAsia="Times New Roman" w:hAnsi="Arial" w:cs="Arial"/>
          <w:color w:val="000000"/>
          <w:lang w:val="en" w:eastAsia="en-AU"/>
        </w:rPr>
        <w:t>impacts</w:t>
      </w:r>
      <w:r w:rsidR="009114C4">
        <w:rPr>
          <w:rFonts w:ascii="Arial" w:eastAsia="Times New Roman" w:hAnsi="Arial" w:cs="Arial"/>
          <w:color w:val="000000"/>
          <w:lang w:val="en" w:eastAsia="en-AU"/>
        </w:rPr>
        <w:t xml:space="preserve"> of the EIA process</w:t>
      </w:r>
      <w:r>
        <w:rPr>
          <w:rFonts w:ascii="Arial" w:eastAsia="Times New Roman" w:hAnsi="Arial" w:cs="Arial"/>
          <w:color w:val="000000"/>
          <w:lang w:val="en" w:eastAsia="en-AU"/>
        </w:rPr>
        <w:t xml:space="preserve">. </w:t>
      </w:r>
      <w:r w:rsidR="00EA32DF">
        <w:rPr>
          <w:rFonts w:ascii="Arial" w:eastAsia="Times New Roman" w:hAnsi="Arial" w:cs="Arial"/>
          <w:color w:val="000000"/>
          <w:lang w:val="en" w:eastAsia="en-AU"/>
        </w:rPr>
        <w:t>Given</w:t>
      </w:r>
      <w:r>
        <w:rPr>
          <w:rFonts w:ascii="Arial" w:eastAsia="Times New Roman" w:hAnsi="Arial" w:cs="Arial"/>
          <w:color w:val="000000"/>
          <w:lang w:val="en" w:eastAsia="en-AU"/>
        </w:rPr>
        <w:t xml:space="preserve"> that </w:t>
      </w:r>
      <w:r w:rsidR="006A70B5">
        <w:rPr>
          <w:rFonts w:ascii="Arial" w:eastAsia="Times New Roman" w:hAnsi="Arial" w:cs="Arial"/>
          <w:color w:val="000000"/>
          <w:lang w:val="en" w:eastAsia="en-AU"/>
        </w:rPr>
        <w:t xml:space="preserve">it is likely </w:t>
      </w:r>
      <w:r>
        <w:rPr>
          <w:rFonts w:ascii="Arial" w:eastAsia="Times New Roman" w:hAnsi="Arial" w:cs="Arial"/>
          <w:color w:val="000000"/>
          <w:lang w:val="en" w:eastAsia="en-AU"/>
        </w:rPr>
        <w:t xml:space="preserve">the EIA process has the greatest impact on </w:t>
      </w:r>
      <w:r w:rsidRPr="00231210">
        <w:rPr>
          <w:rFonts w:ascii="Arial" w:eastAsia="Times New Roman" w:hAnsi="Arial" w:cs="Arial"/>
          <w:color w:val="000000"/>
          <w:lang w:val="en" w:eastAsia="en-AU"/>
        </w:rPr>
        <w:t>communities within or</w:t>
      </w:r>
      <w:r>
        <w:rPr>
          <w:rFonts w:ascii="Arial" w:eastAsia="Times New Roman" w:hAnsi="Arial" w:cs="Arial"/>
          <w:color w:val="000000"/>
          <w:lang w:val="en" w:eastAsia="en-AU"/>
        </w:rPr>
        <w:t xml:space="preserve"> </w:t>
      </w:r>
      <w:r w:rsidR="00EA32DF" w:rsidRPr="00231210">
        <w:rPr>
          <w:rFonts w:ascii="Arial" w:eastAsia="Times New Roman" w:hAnsi="Arial" w:cs="Arial"/>
          <w:color w:val="000000"/>
          <w:lang w:val="en" w:eastAsia="en-AU"/>
        </w:rPr>
        <w:t>near</w:t>
      </w:r>
      <w:r w:rsidRPr="00231210">
        <w:rPr>
          <w:rFonts w:ascii="Arial" w:eastAsia="Times New Roman" w:hAnsi="Arial" w:cs="Arial"/>
          <w:color w:val="000000"/>
          <w:lang w:val="en" w:eastAsia="en-AU"/>
        </w:rPr>
        <w:t xml:space="preserve"> </w:t>
      </w:r>
      <w:r>
        <w:rPr>
          <w:rFonts w:ascii="Arial" w:eastAsia="Times New Roman" w:hAnsi="Arial" w:cs="Arial"/>
          <w:color w:val="000000"/>
          <w:lang w:val="en" w:eastAsia="en-AU"/>
        </w:rPr>
        <w:t xml:space="preserve">a </w:t>
      </w:r>
      <w:r w:rsidRPr="00231210">
        <w:rPr>
          <w:rFonts w:ascii="Arial" w:eastAsia="Times New Roman" w:hAnsi="Arial" w:cs="Arial"/>
          <w:color w:val="000000"/>
          <w:lang w:val="en" w:eastAsia="en-AU"/>
        </w:rPr>
        <w:t>project area</w:t>
      </w:r>
      <w:r>
        <w:rPr>
          <w:rFonts w:ascii="Arial" w:eastAsia="Times New Roman" w:hAnsi="Arial" w:cs="Arial"/>
          <w:color w:val="000000"/>
          <w:lang w:val="en" w:eastAsia="en-AU"/>
        </w:rPr>
        <w:t xml:space="preserve">, </w:t>
      </w:r>
      <w:r w:rsidR="00EA32DF">
        <w:rPr>
          <w:rFonts w:ascii="Arial" w:eastAsia="Times New Roman" w:hAnsi="Arial" w:cs="Arial"/>
          <w:color w:val="000000"/>
          <w:lang w:val="en" w:eastAsia="en-AU"/>
        </w:rPr>
        <w:t xml:space="preserve">communities close </w:t>
      </w:r>
      <w:r w:rsidR="00F133FD">
        <w:rPr>
          <w:rFonts w:ascii="Arial" w:eastAsia="Times New Roman" w:hAnsi="Arial" w:cs="Arial"/>
          <w:color w:val="000000"/>
          <w:lang w:val="en" w:eastAsia="en-AU"/>
        </w:rPr>
        <w:t xml:space="preserve">to or within </w:t>
      </w:r>
      <w:r w:rsidR="00EA32DF">
        <w:rPr>
          <w:rFonts w:ascii="Arial" w:eastAsia="Times New Roman" w:hAnsi="Arial" w:cs="Arial"/>
          <w:color w:val="000000"/>
          <w:lang w:val="en" w:eastAsia="en-AU"/>
        </w:rPr>
        <w:t xml:space="preserve">project footprints were the focus for identifying impacts. </w:t>
      </w:r>
    </w:p>
    <w:p w14:paraId="588552EF" w14:textId="3B93EFED" w:rsidR="00390553" w:rsidRPr="00EA32DF" w:rsidRDefault="00BC2A71" w:rsidP="00982239">
      <w:pPr>
        <w:spacing w:before="75" w:after="150" w:line="360" w:lineRule="atLeast"/>
        <w:rPr>
          <w:rFonts w:ascii="Arial" w:eastAsia="Times New Roman" w:hAnsi="Arial" w:cs="Arial"/>
          <w:color w:val="000000"/>
          <w:lang w:val="en" w:eastAsia="en-AU"/>
        </w:rPr>
      </w:pPr>
      <w:r w:rsidRPr="0084158C">
        <w:rPr>
          <w:rFonts w:ascii="Arial" w:eastAsia="Times New Roman" w:hAnsi="Arial" w:cs="Arial"/>
          <w:color w:val="000000"/>
          <w:lang w:val="en" w:eastAsia="en-AU"/>
        </w:rPr>
        <w:t xml:space="preserve">The following table provides </w:t>
      </w:r>
      <w:r w:rsidR="00EA32DF">
        <w:rPr>
          <w:rFonts w:ascii="Arial" w:eastAsia="Times New Roman" w:hAnsi="Arial" w:cs="Arial"/>
          <w:color w:val="000000"/>
          <w:lang w:val="en" w:eastAsia="en-AU"/>
        </w:rPr>
        <w:t xml:space="preserve">a summary </w:t>
      </w:r>
      <w:r w:rsidRPr="0084158C">
        <w:rPr>
          <w:rFonts w:ascii="Arial" w:eastAsia="Times New Roman" w:hAnsi="Arial" w:cs="Arial"/>
          <w:color w:val="000000"/>
          <w:lang w:val="en" w:eastAsia="en-AU"/>
        </w:rPr>
        <w:t xml:space="preserve">of </w:t>
      </w:r>
      <w:r w:rsidR="00EA32DF">
        <w:rPr>
          <w:rFonts w:ascii="Arial" w:eastAsia="Times New Roman" w:hAnsi="Arial" w:cs="Arial"/>
          <w:color w:val="000000"/>
          <w:lang w:val="en" w:eastAsia="en-AU"/>
        </w:rPr>
        <w:t xml:space="preserve">observed </w:t>
      </w:r>
      <w:r w:rsidRPr="0084158C">
        <w:rPr>
          <w:rFonts w:ascii="Arial" w:eastAsia="Times New Roman" w:hAnsi="Arial" w:cs="Arial"/>
          <w:color w:val="000000"/>
          <w:lang w:val="en" w:eastAsia="en-AU"/>
        </w:rPr>
        <w:t xml:space="preserve">community impacts of each key step of the Victorian EIA process. </w:t>
      </w:r>
      <w:r w:rsidR="006A70B5">
        <w:rPr>
          <w:rFonts w:ascii="Arial" w:eastAsia="Times New Roman" w:hAnsi="Arial" w:cs="Arial"/>
          <w:color w:val="000000"/>
          <w:lang w:val="en" w:eastAsia="en-AU"/>
        </w:rPr>
        <w:t xml:space="preserve">Observations were </w:t>
      </w:r>
      <w:r w:rsidRPr="0084158C">
        <w:rPr>
          <w:rFonts w:ascii="Arial" w:eastAsia="Times New Roman" w:hAnsi="Arial" w:cs="Arial"/>
          <w:color w:val="000000"/>
          <w:lang w:val="en" w:eastAsia="en-AU"/>
        </w:rPr>
        <w:t xml:space="preserve">identified through </w:t>
      </w:r>
      <w:r w:rsidR="00C97555" w:rsidRPr="0084158C">
        <w:rPr>
          <w:rFonts w:ascii="Arial" w:eastAsia="Times New Roman" w:hAnsi="Arial" w:cs="Arial"/>
          <w:color w:val="000000"/>
          <w:lang w:val="en" w:eastAsia="en-AU"/>
        </w:rPr>
        <w:t xml:space="preserve">discussion with community members </w:t>
      </w:r>
      <w:r w:rsidRPr="0084158C">
        <w:rPr>
          <w:rFonts w:ascii="Arial" w:eastAsia="Times New Roman" w:hAnsi="Arial" w:cs="Arial"/>
          <w:color w:val="000000"/>
          <w:lang w:val="en" w:eastAsia="en-AU"/>
        </w:rPr>
        <w:t xml:space="preserve">in north-east Melbourne that are currently living within </w:t>
      </w:r>
      <w:r w:rsidR="003B38D3">
        <w:rPr>
          <w:rFonts w:ascii="Arial" w:eastAsia="Times New Roman" w:hAnsi="Arial" w:cs="Arial"/>
          <w:color w:val="000000"/>
          <w:lang w:val="en" w:eastAsia="en-AU"/>
        </w:rPr>
        <w:t xml:space="preserve">the North East Link Freeway </w:t>
      </w:r>
      <w:r w:rsidRPr="0084158C">
        <w:rPr>
          <w:rFonts w:ascii="Arial" w:eastAsia="Times New Roman" w:hAnsi="Arial" w:cs="Arial"/>
          <w:color w:val="000000"/>
          <w:lang w:val="en" w:eastAsia="en-AU"/>
        </w:rPr>
        <w:t xml:space="preserve">project footprint, discussions with </w:t>
      </w:r>
      <w:r w:rsidR="00C97555" w:rsidRPr="0084158C">
        <w:rPr>
          <w:rFonts w:ascii="Arial" w:eastAsia="Times New Roman" w:hAnsi="Arial" w:cs="Arial"/>
          <w:color w:val="000000"/>
          <w:lang w:val="en" w:eastAsia="en-AU"/>
        </w:rPr>
        <w:t>EIA practitioners</w:t>
      </w:r>
      <w:r w:rsidR="006A70B5">
        <w:rPr>
          <w:rFonts w:ascii="Arial" w:eastAsia="Times New Roman" w:hAnsi="Arial" w:cs="Arial"/>
          <w:color w:val="000000"/>
          <w:lang w:val="en" w:eastAsia="en-AU"/>
        </w:rPr>
        <w:t xml:space="preserve">, </w:t>
      </w:r>
      <w:r w:rsidR="00316365">
        <w:rPr>
          <w:rFonts w:ascii="Arial" w:eastAsia="Times New Roman" w:hAnsi="Arial" w:cs="Arial"/>
          <w:color w:val="000000"/>
          <w:lang w:val="en" w:eastAsia="en-AU"/>
        </w:rPr>
        <w:t>and personal observations</w:t>
      </w:r>
      <w:r w:rsidR="00C97555" w:rsidRPr="0084158C">
        <w:rPr>
          <w:rFonts w:ascii="Arial" w:eastAsia="Times New Roman" w:hAnsi="Arial" w:cs="Arial"/>
          <w:color w:val="000000"/>
          <w:lang w:val="en" w:eastAsia="en-AU"/>
        </w:rPr>
        <w:t>.</w:t>
      </w:r>
      <w:r w:rsidRPr="0084158C">
        <w:rPr>
          <w:rFonts w:ascii="Arial" w:eastAsia="Times New Roman" w:hAnsi="Arial" w:cs="Arial"/>
          <w:color w:val="000000"/>
          <w:lang w:val="en" w:eastAsia="en-AU"/>
        </w:rPr>
        <w:t xml:space="preserve"> </w:t>
      </w:r>
      <w:bookmarkStart w:id="0" w:name="_Hlk3628839"/>
    </w:p>
    <w:p w14:paraId="4F229E01" w14:textId="538F7411" w:rsidR="00390553" w:rsidRPr="00390553" w:rsidRDefault="00390553" w:rsidP="00F50C57">
      <w:pPr>
        <w:pStyle w:val="Caption"/>
        <w:keepNext/>
        <w:rPr>
          <w:rFonts w:ascii="Arial" w:eastAsia="Times New Roman" w:hAnsi="Arial" w:cs="Arial"/>
          <w:i w:val="0"/>
          <w:iCs w:val="0"/>
          <w:color w:val="000000"/>
          <w:sz w:val="20"/>
          <w:szCs w:val="20"/>
          <w:lang w:val="en" w:eastAsia="en-AU"/>
        </w:rPr>
      </w:pPr>
      <w:r w:rsidRPr="00390553">
        <w:rPr>
          <w:rFonts w:ascii="Arial" w:eastAsia="Times New Roman" w:hAnsi="Arial" w:cs="Arial"/>
          <w:i w:val="0"/>
          <w:iCs w:val="0"/>
          <w:color w:val="000000"/>
          <w:sz w:val="20"/>
          <w:szCs w:val="20"/>
          <w:lang w:val="en" w:eastAsia="en-AU"/>
        </w:rPr>
        <w:t xml:space="preserve">Table </w:t>
      </w:r>
      <w:r w:rsidRPr="00390553">
        <w:rPr>
          <w:rFonts w:ascii="Arial" w:eastAsia="Times New Roman" w:hAnsi="Arial" w:cs="Arial"/>
          <w:i w:val="0"/>
          <w:iCs w:val="0"/>
          <w:color w:val="000000"/>
          <w:sz w:val="20"/>
          <w:szCs w:val="20"/>
          <w:lang w:val="en" w:eastAsia="en-AU"/>
        </w:rPr>
        <w:fldChar w:fldCharType="begin"/>
      </w:r>
      <w:r w:rsidRPr="00390553">
        <w:rPr>
          <w:rFonts w:ascii="Arial" w:eastAsia="Times New Roman" w:hAnsi="Arial" w:cs="Arial"/>
          <w:i w:val="0"/>
          <w:iCs w:val="0"/>
          <w:color w:val="000000"/>
          <w:sz w:val="20"/>
          <w:szCs w:val="20"/>
          <w:lang w:val="en" w:eastAsia="en-AU"/>
        </w:rPr>
        <w:instrText xml:space="preserve"> SEQ Table \* ARABIC </w:instrText>
      </w:r>
      <w:r w:rsidRPr="00390553">
        <w:rPr>
          <w:rFonts w:ascii="Arial" w:eastAsia="Times New Roman" w:hAnsi="Arial" w:cs="Arial"/>
          <w:i w:val="0"/>
          <w:iCs w:val="0"/>
          <w:color w:val="000000"/>
          <w:sz w:val="20"/>
          <w:szCs w:val="20"/>
          <w:lang w:val="en" w:eastAsia="en-AU"/>
        </w:rPr>
        <w:fldChar w:fldCharType="separate"/>
      </w:r>
      <w:r w:rsidRPr="00390553">
        <w:rPr>
          <w:rFonts w:ascii="Arial" w:eastAsia="Times New Roman" w:hAnsi="Arial" w:cs="Arial"/>
          <w:i w:val="0"/>
          <w:iCs w:val="0"/>
          <w:color w:val="000000"/>
          <w:sz w:val="20"/>
          <w:szCs w:val="20"/>
          <w:lang w:val="en" w:eastAsia="en-AU"/>
        </w:rPr>
        <w:t>1</w:t>
      </w:r>
      <w:r w:rsidRPr="00390553">
        <w:rPr>
          <w:rFonts w:ascii="Arial" w:eastAsia="Times New Roman" w:hAnsi="Arial" w:cs="Arial"/>
          <w:i w:val="0"/>
          <w:iCs w:val="0"/>
          <w:color w:val="000000"/>
          <w:sz w:val="20"/>
          <w:szCs w:val="20"/>
          <w:lang w:val="en" w:eastAsia="en-AU"/>
        </w:rPr>
        <w:fldChar w:fldCharType="end"/>
      </w:r>
      <w:r w:rsidRPr="00390553">
        <w:rPr>
          <w:rFonts w:ascii="Arial" w:eastAsia="Times New Roman" w:hAnsi="Arial" w:cs="Arial"/>
          <w:i w:val="0"/>
          <w:iCs w:val="0"/>
          <w:color w:val="000000"/>
          <w:sz w:val="20"/>
          <w:szCs w:val="20"/>
          <w:lang w:val="en" w:eastAsia="en-AU"/>
        </w:rPr>
        <w:t xml:space="preserve"> - Observed Impacts of the EIA </w:t>
      </w:r>
      <w:r w:rsidR="00344FC3">
        <w:rPr>
          <w:rFonts w:ascii="Arial" w:eastAsia="Times New Roman" w:hAnsi="Arial" w:cs="Arial"/>
          <w:i w:val="0"/>
          <w:iCs w:val="0"/>
          <w:color w:val="000000"/>
          <w:sz w:val="20"/>
          <w:szCs w:val="20"/>
          <w:lang w:val="en" w:eastAsia="en-AU"/>
        </w:rPr>
        <w:t xml:space="preserve">Assessment </w:t>
      </w:r>
      <w:r w:rsidRPr="00390553">
        <w:rPr>
          <w:rFonts w:ascii="Arial" w:eastAsia="Times New Roman" w:hAnsi="Arial" w:cs="Arial"/>
          <w:i w:val="0"/>
          <w:iCs w:val="0"/>
          <w:color w:val="000000"/>
          <w:sz w:val="20"/>
          <w:szCs w:val="20"/>
          <w:lang w:val="en" w:eastAsia="en-AU"/>
        </w:rPr>
        <w:t>Process</w:t>
      </w:r>
    </w:p>
    <w:tbl>
      <w:tblPr>
        <w:tblW w:w="108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703"/>
        <w:gridCol w:w="842"/>
        <w:gridCol w:w="9255"/>
      </w:tblGrid>
      <w:tr w:rsidR="00827892" w14:paraId="05BE5DB3" w14:textId="77777777" w:rsidTr="00827892">
        <w:trPr>
          <w:trHeight w:val="530"/>
        </w:trPr>
        <w:tc>
          <w:tcPr>
            <w:tcW w:w="70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textDirection w:val="btLr"/>
          </w:tcPr>
          <w:p w14:paraId="5EF8CF11" w14:textId="5BF11171" w:rsidR="00827892" w:rsidRPr="009114C4" w:rsidRDefault="00827892" w:rsidP="00827892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en" w:eastAsia="en-AU"/>
              </w:rPr>
            </w:pPr>
            <w:r w:rsidRPr="00827892">
              <w:rPr>
                <w:rFonts w:ascii="Arial" w:eastAsia="Times New Roman" w:hAnsi="Arial" w:cs="Arial"/>
                <w:b/>
                <w:i/>
                <w:sz w:val="24"/>
                <w:szCs w:val="24"/>
                <w:lang w:val="en" w:eastAsia="en-AU"/>
              </w:rPr>
              <w:t xml:space="preserve">EIA Process 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en" w:eastAsia="en-AU"/>
              </w:rPr>
              <w:t>S</w:t>
            </w:r>
            <w:r w:rsidRPr="00827892">
              <w:rPr>
                <w:rFonts w:ascii="Arial" w:eastAsia="Times New Roman" w:hAnsi="Arial" w:cs="Arial"/>
                <w:b/>
                <w:i/>
                <w:sz w:val="24"/>
                <w:szCs w:val="24"/>
                <w:lang w:val="en" w:eastAsia="en-AU"/>
              </w:rPr>
              <w:t>tages</w:t>
            </w:r>
          </w:p>
        </w:tc>
        <w:tc>
          <w:tcPr>
            <w:tcW w:w="10097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0F1A79C6" w14:textId="7CD49EF7" w:rsidR="00827892" w:rsidRPr="009114C4" w:rsidRDefault="006A70B5" w:rsidP="00E52195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en" w:eastAsia="en-A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en" w:eastAsia="en-AU"/>
              </w:rPr>
              <w:t>Observed I</w:t>
            </w:r>
            <w:r w:rsidR="00827892" w:rsidRPr="009114C4">
              <w:rPr>
                <w:rFonts w:ascii="Arial" w:eastAsia="Times New Roman" w:hAnsi="Arial" w:cs="Arial"/>
                <w:b/>
                <w:i/>
                <w:sz w:val="24"/>
                <w:szCs w:val="24"/>
                <w:lang w:val="en" w:eastAsia="en-AU"/>
              </w:rPr>
              <w:t>mpacts of the EIA Process</w:t>
            </w:r>
          </w:p>
        </w:tc>
      </w:tr>
      <w:tr w:rsidR="00827892" w14:paraId="24BB2030" w14:textId="77777777" w:rsidTr="00827892">
        <w:trPr>
          <w:trHeight w:val="567"/>
        </w:trPr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textDirection w:val="btLr"/>
          </w:tcPr>
          <w:p w14:paraId="6FB9F4CC" w14:textId="55ABA585" w:rsidR="00827892" w:rsidRPr="00D73B01" w:rsidRDefault="00827892" w:rsidP="00642305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val="en" w:eastAsia="en-AU"/>
              </w:rPr>
            </w:pPr>
          </w:p>
        </w:tc>
        <w:tc>
          <w:tcPr>
            <w:tcW w:w="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textDirection w:val="btLr"/>
          </w:tcPr>
          <w:p w14:paraId="1413B715" w14:textId="0A2CB21F" w:rsidR="00827892" w:rsidRPr="00D73B01" w:rsidRDefault="00827892" w:rsidP="00642305">
            <w:pPr>
              <w:ind w:left="113" w:right="113"/>
              <w:rPr>
                <w:sz w:val="20"/>
                <w:szCs w:val="20"/>
              </w:rPr>
            </w:pPr>
            <w:r w:rsidRPr="00D73B01">
              <w:rPr>
                <w:rFonts w:ascii="Arial" w:eastAsia="Times New Roman" w:hAnsi="Arial" w:cs="Arial"/>
                <w:b/>
                <w:i/>
                <w:sz w:val="20"/>
                <w:szCs w:val="20"/>
                <w:lang w:val="en" w:eastAsia="en-AU"/>
              </w:rPr>
              <w:t>Introduction of project footprint and EIA process to community</w:t>
            </w:r>
          </w:p>
        </w:tc>
        <w:tc>
          <w:tcPr>
            <w:tcW w:w="9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36354DA" w14:textId="6E14C0D9" w:rsidR="00827892" w:rsidRPr="00D73B01" w:rsidRDefault="00827892" w:rsidP="00642305">
            <w:pPr>
              <w:spacing w:before="75" w:after="150" w:line="360" w:lineRule="atLeast"/>
              <w:rPr>
                <w:rFonts w:ascii="Arial" w:hAnsi="Arial" w:cs="Arial"/>
                <w:sz w:val="20"/>
                <w:szCs w:val="20"/>
              </w:rPr>
            </w:pPr>
            <w:r w:rsidRPr="00D73B01">
              <w:rPr>
                <w:rFonts w:ascii="Arial" w:eastAsia="Times New Roman" w:hAnsi="Arial" w:cs="Arial"/>
                <w:i/>
                <w:sz w:val="20"/>
                <w:szCs w:val="20"/>
                <w:lang w:val="en" w:eastAsia="en-AU"/>
              </w:rPr>
              <w:t>Emotional stress</w:t>
            </w:r>
            <w:r w:rsidRPr="00D73B01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 xml:space="preserve"> of the project footprint being located near</w:t>
            </w:r>
            <w:r w:rsidR="00344FC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 xml:space="preserve"> </w:t>
            </w:r>
            <w:r w:rsidRPr="00D73B01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home or business or community neighbo</w:t>
            </w:r>
            <w:r w:rsidR="00344FC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u</w:t>
            </w:r>
            <w:r w:rsidRPr="00D73B01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 xml:space="preserve">rhood of value. </w:t>
            </w:r>
          </w:p>
        </w:tc>
      </w:tr>
      <w:tr w:rsidR="00827892" w14:paraId="272729DB" w14:textId="77777777" w:rsidTr="00827892">
        <w:trPr>
          <w:trHeight w:val="408"/>
        </w:trPr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7FC04C9A" w14:textId="7425935B" w:rsidR="00827892" w:rsidRPr="00D73B01" w:rsidRDefault="00827892" w:rsidP="00642305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5B6D4310" w14:textId="4BF13663" w:rsidR="00827892" w:rsidRPr="00D73B01" w:rsidRDefault="00827892" w:rsidP="00642305">
            <w:pPr>
              <w:rPr>
                <w:sz w:val="20"/>
                <w:szCs w:val="20"/>
              </w:rPr>
            </w:pPr>
          </w:p>
        </w:tc>
        <w:tc>
          <w:tcPr>
            <w:tcW w:w="92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9B2B06E" w14:textId="17ACD3C3" w:rsidR="00827892" w:rsidRPr="00D73B01" w:rsidRDefault="00827892" w:rsidP="00642305">
            <w:pPr>
              <w:spacing w:before="75" w:after="150" w:line="360" w:lineRule="atLeast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  <w:r w:rsidRPr="00D73B01">
              <w:rPr>
                <w:rFonts w:ascii="Arial" w:eastAsia="Times New Roman" w:hAnsi="Arial" w:cs="Arial"/>
                <w:i/>
                <w:sz w:val="20"/>
                <w:szCs w:val="20"/>
                <w:lang w:val="en" w:eastAsia="en-AU"/>
              </w:rPr>
              <w:t xml:space="preserve">Fear </w:t>
            </w:r>
            <w:r w:rsidRPr="00D73B01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that the project may result in risk to current residential or commercial land tenure security.</w:t>
            </w:r>
          </w:p>
        </w:tc>
      </w:tr>
      <w:tr w:rsidR="00827892" w14:paraId="1E3FE4F9" w14:textId="77777777" w:rsidTr="00827892">
        <w:trPr>
          <w:trHeight w:val="420"/>
        </w:trPr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4B8E1B84" w14:textId="5E8059BB" w:rsidR="00827892" w:rsidRPr="00D73B01" w:rsidRDefault="00827892" w:rsidP="00642305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247D6B63" w14:textId="0F47AB95" w:rsidR="00827892" w:rsidRPr="00D73B01" w:rsidRDefault="00827892" w:rsidP="00642305">
            <w:pPr>
              <w:rPr>
                <w:sz w:val="20"/>
                <w:szCs w:val="20"/>
              </w:rPr>
            </w:pPr>
          </w:p>
        </w:tc>
        <w:tc>
          <w:tcPr>
            <w:tcW w:w="92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A8D6A9C" w14:textId="0B4364CF" w:rsidR="00827892" w:rsidRPr="00D73B01" w:rsidRDefault="00827892" w:rsidP="00642305">
            <w:pPr>
              <w:spacing w:before="75" w:after="150" w:line="360" w:lineRule="atLeast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  <w:r w:rsidRPr="00D73B01">
              <w:rPr>
                <w:rFonts w:ascii="Arial" w:eastAsia="Times New Roman" w:hAnsi="Arial" w:cs="Arial"/>
                <w:i/>
                <w:sz w:val="20"/>
                <w:szCs w:val="20"/>
                <w:lang w:val="en" w:eastAsia="en-AU"/>
              </w:rPr>
              <w:t>Emotional stress</w:t>
            </w:r>
            <w:r w:rsidRPr="00D73B01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 xml:space="preserve"> and desire for information on the project impacts.</w:t>
            </w:r>
          </w:p>
        </w:tc>
      </w:tr>
      <w:tr w:rsidR="00827892" w14:paraId="1FEAD98C" w14:textId="77777777" w:rsidTr="00827892">
        <w:trPr>
          <w:trHeight w:val="468"/>
        </w:trPr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2EE113C2" w14:textId="63895A65" w:rsidR="00827892" w:rsidRPr="00D73B01" w:rsidRDefault="00827892" w:rsidP="00642305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143FF981" w14:textId="25C26D1F" w:rsidR="00827892" w:rsidRPr="00D73B01" w:rsidRDefault="00827892" w:rsidP="00642305">
            <w:pPr>
              <w:rPr>
                <w:sz w:val="20"/>
                <w:szCs w:val="20"/>
              </w:rPr>
            </w:pPr>
          </w:p>
        </w:tc>
        <w:tc>
          <w:tcPr>
            <w:tcW w:w="92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553838E" w14:textId="18587A6B" w:rsidR="00827892" w:rsidRPr="00D73B01" w:rsidRDefault="00827892" w:rsidP="00642305">
            <w:pPr>
              <w:spacing w:before="75" w:after="150" w:line="360" w:lineRule="atLeast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  <w:r w:rsidRPr="00D73B01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 xml:space="preserve">Perceived immediate </w:t>
            </w:r>
            <w:r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 xml:space="preserve">change </w:t>
            </w:r>
            <w:r w:rsidRPr="00D73B01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in property value.</w:t>
            </w:r>
          </w:p>
        </w:tc>
      </w:tr>
      <w:tr w:rsidR="00827892" w14:paraId="13B7E13F" w14:textId="77777777" w:rsidTr="00827892">
        <w:trPr>
          <w:trHeight w:val="584"/>
        </w:trPr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54CDADA1" w14:textId="37407181" w:rsidR="00827892" w:rsidRPr="00D73B01" w:rsidRDefault="00827892" w:rsidP="00642305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0FA88630" w14:textId="0BBFB69F" w:rsidR="00827892" w:rsidRPr="00D73B01" w:rsidRDefault="00827892" w:rsidP="00642305">
            <w:pPr>
              <w:rPr>
                <w:sz w:val="20"/>
                <w:szCs w:val="20"/>
              </w:rPr>
            </w:pPr>
          </w:p>
        </w:tc>
        <w:tc>
          <w:tcPr>
            <w:tcW w:w="9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F308700" w14:textId="392F2407" w:rsidR="00827892" w:rsidRPr="00D73B01" w:rsidRDefault="00827892" w:rsidP="00642305">
            <w:pPr>
              <w:rPr>
                <w:sz w:val="20"/>
                <w:szCs w:val="20"/>
              </w:rPr>
            </w:pPr>
            <w:r w:rsidRPr="00D73B01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 xml:space="preserve">Anticipation of years of construction impacts. </w:t>
            </w:r>
          </w:p>
        </w:tc>
      </w:tr>
      <w:tr w:rsidR="00827892" w14:paraId="7672A210" w14:textId="77777777" w:rsidTr="00827892">
        <w:trPr>
          <w:trHeight w:val="444"/>
        </w:trPr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4C6E7" w:themeFill="accent1" w:themeFillTint="66"/>
            <w:textDirection w:val="btLr"/>
          </w:tcPr>
          <w:p w14:paraId="769AA685" w14:textId="77AAC15F" w:rsidR="00827892" w:rsidRPr="00D73B01" w:rsidRDefault="00827892" w:rsidP="00642305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val="en" w:eastAsia="en-AU"/>
              </w:rPr>
            </w:pPr>
          </w:p>
        </w:tc>
        <w:tc>
          <w:tcPr>
            <w:tcW w:w="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4C6E7" w:themeFill="accent1" w:themeFillTint="66"/>
            <w:textDirection w:val="btLr"/>
          </w:tcPr>
          <w:p w14:paraId="1048E3FD" w14:textId="718AD858" w:rsidR="00827892" w:rsidRPr="00D73B01" w:rsidRDefault="00827892" w:rsidP="008278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D73B01">
              <w:rPr>
                <w:rFonts w:ascii="Arial" w:eastAsia="Times New Roman" w:hAnsi="Arial" w:cs="Arial"/>
                <w:b/>
                <w:i/>
                <w:sz w:val="20"/>
                <w:szCs w:val="20"/>
                <w:lang w:val="en" w:eastAsia="en-AU"/>
              </w:rPr>
              <w:t>Technical studies within the project locality</w:t>
            </w:r>
          </w:p>
        </w:tc>
        <w:tc>
          <w:tcPr>
            <w:tcW w:w="9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75F19EE" w14:textId="1B20FB4B" w:rsidR="00827892" w:rsidRPr="00D73B01" w:rsidRDefault="00827892" w:rsidP="00642305">
            <w:pPr>
              <w:spacing w:before="75" w:after="150" w:line="360" w:lineRule="atLeast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  <w:r w:rsidRPr="00D73B01">
              <w:rPr>
                <w:rFonts w:ascii="Arial" w:eastAsia="Times New Roman" w:hAnsi="Arial" w:cs="Arial"/>
                <w:i/>
                <w:sz w:val="20"/>
                <w:szCs w:val="20"/>
                <w:lang w:val="en" w:eastAsia="en-AU"/>
              </w:rPr>
              <w:t xml:space="preserve">Unease </w:t>
            </w:r>
            <w:r w:rsidRPr="00D73B01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of investigations taking place due to unfamiliarity with technical investigations and process.</w:t>
            </w:r>
          </w:p>
        </w:tc>
      </w:tr>
      <w:tr w:rsidR="00827892" w14:paraId="2688E9B3" w14:textId="77777777" w:rsidTr="00827892">
        <w:trPr>
          <w:trHeight w:val="444"/>
        </w:trPr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49818698" w14:textId="77777777" w:rsidR="00827892" w:rsidRPr="00D73B01" w:rsidRDefault="00827892" w:rsidP="00642305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26C04184" w14:textId="4C9349C2" w:rsidR="00827892" w:rsidRPr="00D73B01" w:rsidRDefault="00827892" w:rsidP="00642305">
            <w:pPr>
              <w:rPr>
                <w:sz w:val="20"/>
                <w:szCs w:val="20"/>
              </w:rPr>
            </w:pPr>
          </w:p>
        </w:tc>
        <w:tc>
          <w:tcPr>
            <w:tcW w:w="92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89E289D" w14:textId="65C9C946" w:rsidR="00827892" w:rsidRPr="00D73B01" w:rsidRDefault="00827892" w:rsidP="00642305">
            <w:pPr>
              <w:spacing w:before="75" w:after="150" w:line="360" w:lineRule="atLeast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  <w:r w:rsidRPr="00D73B01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 xml:space="preserve">Feeling of </w:t>
            </w:r>
            <w:r w:rsidRPr="00D73B01">
              <w:rPr>
                <w:rFonts w:ascii="Arial" w:eastAsia="Times New Roman" w:hAnsi="Arial" w:cs="Arial"/>
                <w:i/>
                <w:sz w:val="20"/>
                <w:szCs w:val="20"/>
                <w:lang w:val="en" w:eastAsia="en-AU"/>
              </w:rPr>
              <w:t>intrusion</w:t>
            </w:r>
            <w:r w:rsidRPr="00D73B01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 xml:space="preserve"> into day to day living due to visual presence of field equipment and consultants.</w:t>
            </w:r>
          </w:p>
        </w:tc>
      </w:tr>
      <w:tr w:rsidR="00827892" w14:paraId="72AC07D1" w14:textId="77777777" w:rsidTr="00827892">
        <w:trPr>
          <w:trHeight w:val="444"/>
        </w:trPr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13ABCB6C" w14:textId="77777777" w:rsidR="00827892" w:rsidRPr="00D73B01" w:rsidRDefault="00827892" w:rsidP="00642305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00B5CEA3" w14:textId="09155D5F" w:rsidR="00827892" w:rsidRPr="00D73B01" w:rsidRDefault="00827892" w:rsidP="00642305">
            <w:pPr>
              <w:rPr>
                <w:sz w:val="20"/>
                <w:szCs w:val="20"/>
              </w:rPr>
            </w:pPr>
          </w:p>
        </w:tc>
        <w:tc>
          <w:tcPr>
            <w:tcW w:w="92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9C4EC59" w14:textId="5BF08942" w:rsidR="00827892" w:rsidRPr="00D73B01" w:rsidRDefault="00827892" w:rsidP="00642305">
            <w:pPr>
              <w:spacing w:before="75" w:after="150" w:line="360" w:lineRule="atLeast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  <w:r w:rsidRPr="00D73B01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 xml:space="preserve">Concluding the presence of machinery is an indication of project design or footprint. </w:t>
            </w:r>
          </w:p>
        </w:tc>
      </w:tr>
      <w:tr w:rsidR="00827892" w14:paraId="45641C8D" w14:textId="77777777" w:rsidTr="00827892">
        <w:trPr>
          <w:trHeight w:val="791"/>
        </w:trPr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7CA8559E" w14:textId="77777777" w:rsidR="00827892" w:rsidRPr="00D73B01" w:rsidRDefault="00827892" w:rsidP="00642305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4CB4E166" w14:textId="40A7B3C5" w:rsidR="00827892" w:rsidRPr="00D73B01" w:rsidRDefault="00827892" w:rsidP="00642305">
            <w:pPr>
              <w:rPr>
                <w:sz w:val="20"/>
                <w:szCs w:val="20"/>
              </w:rPr>
            </w:pPr>
          </w:p>
        </w:tc>
        <w:tc>
          <w:tcPr>
            <w:tcW w:w="9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237E54A" w14:textId="7176C4BD" w:rsidR="00827892" w:rsidRPr="00D73B01" w:rsidRDefault="00827892" w:rsidP="00642305">
            <w:pPr>
              <w:rPr>
                <w:sz w:val="20"/>
                <w:szCs w:val="20"/>
              </w:rPr>
            </w:pPr>
            <w:r w:rsidRPr="00D73B01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Field equipment provid</w:t>
            </w:r>
            <w:r w:rsidR="00E52195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ing</w:t>
            </w:r>
            <w:r w:rsidRPr="00D73B01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 xml:space="preserve"> a constant reminder of the project progressing.</w:t>
            </w:r>
          </w:p>
        </w:tc>
      </w:tr>
      <w:tr w:rsidR="00827892" w14:paraId="7F63CE38" w14:textId="77777777" w:rsidTr="00827892">
        <w:trPr>
          <w:trHeight w:val="444"/>
        </w:trPr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EAADB" w:themeFill="accent1" w:themeFillTint="99"/>
            <w:textDirection w:val="btLr"/>
          </w:tcPr>
          <w:p w14:paraId="7BA3152B" w14:textId="77777777" w:rsidR="00827892" w:rsidRPr="00D73B01" w:rsidRDefault="00827892" w:rsidP="00642305">
            <w:pPr>
              <w:ind w:left="113" w:right="113"/>
              <w:rPr>
                <w:rFonts w:ascii="Arial" w:eastAsia="Times New Roman" w:hAnsi="Arial" w:cs="Arial"/>
                <w:b/>
                <w:i/>
                <w:sz w:val="20"/>
                <w:szCs w:val="20"/>
                <w:lang w:val="en" w:eastAsia="en-AU"/>
              </w:rPr>
            </w:pPr>
          </w:p>
        </w:tc>
        <w:tc>
          <w:tcPr>
            <w:tcW w:w="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EAADB" w:themeFill="accent1" w:themeFillTint="99"/>
            <w:textDirection w:val="btLr"/>
          </w:tcPr>
          <w:p w14:paraId="2CA830CE" w14:textId="60E9926C" w:rsidR="00827892" w:rsidRPr="00D73B01" w:rsidRDefault="00827892" w:rsidP="00642305">
            <w:pPr>
              <w:ind w:left="113" w:right="113"/>
              <w:rPr>
                <w:sz w:val="20"/>
                <w:szCs w:val="20"/>
              </w:rPr>
            </w:pPr>
            <w:r w:rsidRPr="00D73B01">
              <w:rPr>
                <w:rFonts w:ascii="Arial" w:eastAsia="Times New Roman" w:hAnsi="Arial" w:cs="Arial"/>
                <w:b/>
                <w:i/>
                <w:sz w:val="20"/>
                <w:szCs w:val="20"/>
                <w:lang w:val="en" w:eastAsia="en-AU"/>
              </w:rPr>
              <w:t>Notification of potential property acquisition</w:t>
            </w:r>
          </w:p>
        </w:tc>
        <w:tc>
          <w:tcPr>
            <w:tcW w:w="9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B6511AC" w14:textId="79891497" w:rsidR="00827892" w:rsidRPr="00D73B01" w:rsidRDefault="00827892" w:rsidP="00642305">
            <w:pPr>
              <w:spacing w:before="75" w:after="150" w:line="360" w:lineRule="atLeast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  <w:r w:rsidRPr="00D73B01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 xml:space="preserve">Major stress for property owners and occupiers. Immediate change </w:t>
            </w:r>
            <w:r w:rsidR="00E52195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in the</w:t>
            </w:r>
            <w:r w:rsidRPr="00D73B01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 xml:space="preserve"> way the future is perceived for the household or business</w:t>
            </w:r>
            <w:r w:rsidR="003B38D3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es</w:t>
            </w:r>
            <w:r w:rsidRPr="00D73B01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 xml:space="preserve">. Property improvements and </w:t>
            </w:r>
            <w:r w:rsidR="00E52195" w:rsidRPr="00D73B01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plans</w:t>
            </w:r>
            <w:r w:rsidRPr="00D73B01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 xml:space="preserve"> to invest in the property are put on hold.</w:t>
            </w:r>
          </w:p>
        </w:tc>
      </w:tr>
      <w:tr w:rsidR="002D145C" w14:paraId="52A75003" w14:textId="77777777" w:rsidTr="00827892">
        <w:trPr>
          <w:trHeight w:val="444"/>
        </w:trPr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1DCA77E7" w14:textId="77777777" w:rsidR="002D145C" w:rsidRPr="00D73B01" w:rsidRDefault="002D145C" w:rsidP="00642305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7B668D4A" w14:textId="77777777" w:rsidR="002D145C" w:rsidRPr="00D73B01" w:rsidRDefault="002D145C" w:rsidP="00642305">
            <w:pPr>
              <w:rPr>
                <w:sz w:val="20"/>
                <w:szCs w:val="20"/>
              </w:rPr>
            </w:pPr>
          </w:p>
        </w:tc>
        <w:tc>
          <w:tcPr>
            <w:tcW w:w="92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8474ED0" w14:textId="0A9FAFF1" w:rsidR="002D145C" w:rsidRPr="00D73B01" w:rsidRDefault="002D145C" w:rsidP="001C4CBE">
            <w:pPr>
              <w:spacing w:before="75" w:after="150" w:line="360" w:lineRule="atLeast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Emotional stress from landowners close to acquired properties who would prefer their property be acquired rather than having to cope with project impacts on a permanent basis.</w:t>
            </w:r>
          </w:p>
        </w:tc>
      </w:tr>
      <w:tr w:rsidR="00827892" w14:paraId="106240AC" w14:textId="77777777" w:rsidTr="00827892">
        <w:trPr>
          <w:trHeight w:val="444"/>
        </w:trPr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77D422E1" w14:textId="77777777" w:rsidR="00827892" w:rsidRPr="00D73B01" w:rsidRDefault="00827892" w:rsidP="00642305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32EB3946" w14:textId="3A700DF4" w:rsidR="00827892" w:rsidRPr="00D73B01" w:rsidRDefault="00827892" w:rsidP="00642305">
            <w:pPr>
              <w:rPr>
                <w:sz w:val="20"/>
                <w:szCs w:val="20"/>
              </w:rPr>
            </w:pPr>
          </w:p>
        </w:tc>
        <w:tc>
          <w:tcPr>
            <w:tcW w:w="92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28B9866" w14:textId="70C26A1D" w:rsidR="00827892" w:rsidRPr="00D73B01" w:rsidRDefault="00827892" w:rsidP="001C4CBE">
            <w:pPr>
              <w:spacing w:before="75" w:after="150" w:line="360" w:lineRule="atLeast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  <w:r w:rsidRPr="00D73B01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 xml:space="preserve">Emotional stress to business’s and land owners waiting for confirmation of acquisition. </w:t>
            </w:r>
          </w:p>
        </w:tc>
      </w:tr>
      <w:tr w:rsidR="00827892" w14:paraId="2385431B" w14:textId="77777777" w:rsidTr="00827892">
        <w:trPr>
          <w:trHeight w:val="444"/>
        </w:trPr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7727E878" w14:textId="77777777" w:rsidR="00827892" w:rsidRPr="00D73B01" w:rsidRDefault="00827892" w:rsidP="00642305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2457C221" w14:textId="204AF864" w:rsidR="00827892" w:rsidRPr="00D73B01" w:rsidRDefault="00827892" w:rsidP="00642305">
            <w:pPr>
              <w:rPr>
                <w:sz w:val="20"/>
                <w:szCs w:val="20"/>
              </w:rPr>
            </w:pPr>
          </w:p>
        </w:tc>
        <w:tc>
          <w:tcPr>
            <w:tcW w:w="92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5BF35F1" w14:textId="440E8CF7" w:rsidR="00827892" w:rsidRPr="00D73B01" w:rsidRDefault="00827892" w:rsidP="00642305">
            <w:pPr>
              <w:rPr>
                <w:rFonts w:ascii="Arial" w:eastAsia="Times New Roman" w:hAnsi="Arial" w:cs="Arial"/>
                <w:i/>
                <w:sz w:val="20"/>
                <w:szCs w:val="20"/>
                <w:lang w:val="en" w:eastAsia="en-AU"/>
              </w:rPr>
            </w:pPr>
            <w:r w:rsidRPr="00D73B01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Fear that property is ‘unsaleable’</w:t>
            </w:r>
            <w:r w:rsidR="00E52195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.</w:t>
            </w:r>
          </w:p>
        </w:tc>
      </w:tr>
      <w:tr w:rsidR="00827892" w14:paraId="1DE2428D" w14:textId="77777777" w:rsidTr="00827892">
        <w:trPr>
          <w:trHeight w:val="444"/>
        </w:trPr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2B31DC19" w14:textId="77777777" w:rsidR="00827892" w:rsidRPr="00D73B01" w:rsidRDefault="00827892" w:rsidP="00642305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4A6C3382" w14:textId="510E431F" w:rsidR="00827892" w:rsidRPr="00D73B01" w:rsidRDefault="00827892" w:rsidP="00642305">
            <w:pPr>
              <w:rPr>
                <w:sz w:val="20"/>
                <w:szCs w:val="20"/>
              </w:rPr>
            </w:pPr>
          </w:p>
        </w:tc>
        <w:tc>
          <w:tcPr>
            <w:tcW w:w="92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400CDC1" w14:textId="7D42C195" w:rsidR="00827892" w:rsidRPr="00D73B01" w:rsidRDefault="00827892" w:rsidP="00642305">
            <w:pPr>
              <w:rPr>
                <w:rFonts w:ascii="Arial" w:eastAsia="Times New Roman" w:hAnsi="Arial" w:cs="Arial"/>
                <w:i/>
                <w:sz w:val="20"/>
                <w:szCs w:val="20"/>
                <w:lang w:val="en" w:eastAsia="en-AU"/>
              </w:rPr>
            </w:pPr>
            <w:r w:rsidRPr="00D73B01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Emotional stress of acquisition so severe that illness results</w:t>
            </w:r>
            <w:r w:rsidR="00E52195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.</w:t>
            </w:r>
          </w:p>
        </w:tc>
      </w:tr>
      <w:tr w:rsidR="00827892" w14:paraId="4F86B63F" w14:textId="77777777" w:rsidTr="00827892">
        <w:trPr>
          <w:trHeight w:val="444"/>
        </w:trPr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406DF08B" w14:textId="77777777" w:rsidR="00827892" w:rsidRPr="00D73B01" w:rsidRDefault="00827892" w:rsidP="00642305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76D4DED9" w14:textId="32D56AC6" w:rsidR="00827892" w:rsidRPr="00D73B01" w:rsidRDefault="00827892" w:rsidP="00642305">
            <w:pPr>
              <w:rPr>
                <w:sz w:val="20"/>
                <w:szCs w:val="20"/>
              </w:rPr>
            </w:pPr>
          </w:p>
        </w:tc>
        <w:tc>
          <w:tcPr>
            <w:tcW w:w="92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F761168" w14:textId="21FFBA22" w:rsidR="00827892" w:rsidRPr="00D73B01" w:rsidRDefault="00125723" w:rsidP="00642305">
            <w:pPr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‘Planning Blight’</w:t>
            </w:r>
            <w:r w:rsidR="001F773A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 xml:space="preserve"> resulting from expected or possible future development or restriction of development</w:t>
            </w:r>
            <w:r w:rsidR="00827892" w:rsidRPr="00D73B01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.</w:t>
            </w:r>
          </w:p>
        </w:tc>
      </w:tr>
      <w:tr w:rsidR="00827892" w14:paraId="1E32201A" w14:textId="77777777" w:rsidTr="00827892">
        <w:trPr>
          <w:trHeight w:val="444"/>
        </w:trPr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43ABDD72" w14:textId="77777777" w:rsidR="00827892" w:rsidRPr="00D73B01" w:rsidRDefault="00827892" w:rsidP="00642305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0C1FE21C" w14:textId="54B1CA54" w:rsidR="00827892" w:rsidRPr="00D73B01" w:rsidRDefault="00827892" w:rsidP="00642305">
            <w:pPr>
              <w:rPr>
                <w:sz w:val="20"/>
                <w:szCs w:val="20"/>
              </w:rPr>
            </w:pPr>
          </w:p>
        </w:tc>
        <w:tc>
          <w:tcPr>
            <w:tcW w:w="92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E31F934" w14:textId="57954CE2" w:rsidR="00827892" w:rsidRPr="00D73B01" w:rsidRDefault="00827892" w:rsidP="00642305">
            <w:pPr>
              <w:rPr>
                <w:rFonts w:ascii="Arial" w:eastAsia="Times New Roman" w:hAnsi="Arial" w:cs="Arial"/>
                <w:i/>
                <w:sz w:val="20"/>
                <w:szCs w:val="20"/>
                <w:lang w:val="en" w:eastAsia="en-AU"/>
              </w:rPr>
            </w:pPr>
            <w:r w:rsidRPr="00D73B01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Cost, time and emotional stress of seeking legal advice</w:t>
            </w:r>
            <w:r w:rsidR="00E52195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.</w:t>
            </w:r>
          </w:p>
        </w:tc>
      </w:tr>
      <w:tr w:rsidR="00827892" w14:paraId="6D3D6A82" w14:textId="77777777" w:rsidTr="00544826">
        <w:trPr>
          <w:trHeight w:val="1862"/>
        </w:trPr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4BA41D24" w14:textId="77777777" w:rsidR="00827892" w:rsidRPr="00D73B01" w:rsidRDefault="00827892" w:rsidP="00642305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4FC66480" w14:textId="335B2B97" w:rsidR="00827892" w:rsidRPr="00D73B01" w:rsidRDefault="00827892" w:rsidP="00642305">
            <w:pPr>
              <w:rPr>
                <w:sz w:val="20"/>
                <w:szCs w:val="20"/>
              </w:rPr>
            </w:pPr>
          </w:p>
        </w:tc>
        <w:tc>
          <w:tcPr>
            <w:tcW w:w="92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90A5A78" w14:textId="179243D0" w:rsidR="00827892" w:rsidRPr="00D73B01" w:rsidRDefault="00827892" w:rsidP="00642305">
            <w:pPr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  <w:r w:rsidRPr="00D73B01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Sense of relief for those properties not subject to potential acquisition.</w:t>
            </w:r>
          </w:p>
        </w:tc>
      </w:tr>
      <w:tr w:rsidR="00827892" w14:paraId="22B9757D" w14:textId="77777777" w:rsidTr="00827892">
        <w:trPr>
          <w:trHeight w:val="444"/>
        </w:trPr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2F5496" w:themeFill="accent1" w:themeFillShade="BF"/>
            <w:textDirection w:val="btLr"/>
          </w:tcPr>
          <w:p w14:paraId="571A2A9A" w14:textId="77777777" w:rsidR="00827892" w:rsidRPr="00D73B01" w:rsidRDefault="00827892" w:rsidP="00642305">
            <w:pPr>
              <w:ind w:left="113" w:right="113"/>
              <w:rPr>
                <w:rFonts w:ascii="Arial" w:eastAsia="Times New Roman" w:hAnsi="Arial" w:cs="Arial"/>
                <w:b/>
                <w:i/>
                <w:sz w:val="20"/>
                <w:szCs w:val="20"/>
                <w:lang w:val="en" w:eastAsia="en-AU"/>
              </w:rPr>
            </w:pPr>
          </w:p>
        </w:tc>
        <w:tc>
          <w:tcPr>
            <w:tcW w:w="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2F5496" w:themeFill="accent1" w:themeFillShade="BF"/>
            <w:textDirection w:val="btLr"/>
          </w:tcPr>
          <w:p w14:paraId="0406419E" w14:textId="71FECD62" w:rsidR="00827892" w:rsidRPr="00D73B01" w:rsidRDefault="00827892" w:rsidP="00642305">
            <w:pPr>
              <w:ind w:left="113" w:right="113"/>
              <w:rPr>
                <w:sz w:val="20"/>
                <w:szCs w:val="20"/>
              </w:rPr>
            </w:pPr>
            <w:r w:rsidRPr="00D73B01">
              <w:rPr>
                <w:rFonts w:ascii="Arial" w:eastAsia="Times New Roman" w:hAnsi="Arial" w:cs="Arial"/>
                <w:b/>
                <w:i/>
                <w:sz w:val="20"/>
                <w:szCs w:val="20"/>
                <w:lang w:val="en" w:eastAsia="en-AU"/>
              </w:rPr>
              <w:t>Public information sessions</w:t>
            </w:r>
          </w:p>
        </w:tc>
        <w:tc>
          <w:tcPr>
            <w:tcW w:w="9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F0FF867" w14:textId="5D3F75C4" w:rsidR="00827892" w:rsidRPr="00D73B01" w:rsidRDefault="00827892" w:rsidP="00642305">
            <w:pPr>
              <w:spacing w:before="75" w:after="150" w:line="360" w:lineRule="atLeast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  <w:r w:rsidRPr="00D73B01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 xml:space="preserve">Concern that technical advice is unreliable and has been </w:t>
            </w:r>
            <w:r w:rsidR="00E52195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‘</w:t>
            </w:r>
            <w:r w:rsidRPr="00D73B01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cherry picked</w:t>
            </w:r>
            <w:r w:rsidR="00E52195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’</w:t>
            </w:r>
            <w:r w:rsidRPr="00D73B01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 xml:space="preserve"> to support the project with negative information being buried or disguised.</w:t>
            </w:r>
          </w:p>
        </w:tc>
      </w:tr>
      <w:tr w:rsidR="00827892" w14:paraId="01F0B288" w14:textId="77777777" w:rsidTr="00827892">
        <w:trPr>
          <w:trHeight w:val="444"/>
        </w:trPr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2F5496" w:themeFill="accent1" w:themeFillShade="BF"/>
          </w:tcPr>
          <w:p w14:paraId="57CD79DD" w14:textId="77777777" w:rsidR="00827892" w:rsidRPr="00D73B01" w:rsidRDefault="00827892" w:rsidP="00642305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2F5496" w:themeFill="accent1" w:themeFillShade="BF"/>
          </w:tcPr>
          <w:p w14:paraId="3FDD0FCE" w14:textId="21E1357B" w:rsidR="00827892" w:rsidRPr="00D73B01" w:rsidRDefault="00827892" w:rsidP="00642305">
            <w:pPr>
              <w:rPr>
                <w:sz w:val="20"/>
                <w:szCs w:val="20"/>
              </w:rPr>
            </w:pPr>
          </w:p>
        </w:tc>
        <w:tc>
          <w:tcPr>
            <w:tcW w:w="92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EB4320C" w14:textId="5415E6C8" w:rsidR="00827892" w:rsidRPr="00D73B01" w:rsidRDefault="00827892" w:rsidP="00642305">
            <w:pPr>
              <w:spacing w:before="75" w:after="150" w:line="360" w:lineRule="atLeast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  <w:r w:rsidRPr="00D73B01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 xml:space="preserve">Frustration and concern that the proponent </w:t>
            </w:r>
            <w:r w:rsidR="00E52195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 xml:space="preserve">does </w:t>
            </w:r>
            <w:r w:rsidRPr="00D73B01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not</w:t>
            </w:r>
            <w:r w:rsidR="00E52195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 xml:space="preserve"> value </w:t>
            </w:r>
            <w:r w:rsidRPr="00D73B01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the depth of community assets</w:t>
            </w:r>
            <w:r w:rsidR="00E52195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 xml:space="preserve"> due </w:t>
            </w:r>
            <w:r w:rsidR="00F133FD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 xml:space="preserve">to </w:t>
            </w:r>
            <w:r w:rsidR="00E52195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 xml:space="preserve">not being personally connected to </w:t>
            </w:r>
            <w:r w:rsidRPr="00D73B01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 xml:space="preserve">the community.  </w:t>
            </w:r>
          </w:p>
        </w:tc>
      </w:tr>
      <w:tr w:rsidR="00827892" w14:paraId="66862B4B" w14:textId="77777777" w:rsidTr="00827892">
        <w:trPr>
          <w:trHeight w:val="444"/>
        </w:trPr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2F5496" w:themeFill="accent1" w:themeFillShade="BF"/>
          </w:tcPr>
          <w:p w14:paraId="363B01F0" w14:textId="77777777" w:rsidR="00827892" w:rsidRPr="00D73B01" w:rsidRDefault="00827892" w:rsidP="00642305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2F5496" w:themeFill="accent1" w:themeFillShade="BF"/>
          </w:tcPr>
          <w:p w14:paraId="09FDB96A" w14:textId="00C8E663" w:rsidR="00827892" w:rsidRPr="00D73B01" w:rsidRDefault="00827892" w:rsidP="00642305">
            <w:pPr>
              <w:rPr>
                <w:sz w:val="20"/>
                <w:szCs w:val="20"/>
              </w:rPr>
            </w:pPr>
          </w:p>
        </w:tc>
        <w:tc>
          <w:tcPr>
            <w:tcW w:w="92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5BEDF37" w14:textId="77777777" w:rsidR="00827892" w:rsidRPr="00D73B01" w:rsidRDefault="00827892" w:rsidP="00642305">
            <w:pPr>
              <w:spacing w:before="75" w:after="150" w:line="360" w:lineRule="atLeast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  <w:r w:rsidRPr="00D73B01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Time and effort seeking out ‘trusted’ local opinions including local government for verification of information provided.</w:t>
            </w:r>
          </w:p>
        </w:tc>
      </w:tr>
      <w:tr w:rsidR="00344FC3" w14:paraId="674BAA1D" w14:textId="77777777" w:rsidTr="002A10A9">
        <w:trPr>
          <w:trHeight w:val="444"/>
        </w:trPr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2F5496" w:themeFill="accent1" w:themeFillShade="BF"/>
          </w:tcPr>
          <w:p w14:paraId="4D18B379" w14:textId="77777777" w:rsidR="00344FC3" w:rsidRPr="00D73B01" w:rsidRDefault="00344FC3" w:rsidP="00642305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2F5496" w:themeFill="accent1" w:themeFillShade="BF"/>
          </w:tcPr>
          <w:p w14:paraId="47AA13E1" w14:textId="77777777" w:rsidR="00344FC3" w:rsidRPr="00D73B01" w:rsidRDefault="00344FC3" w:rsidP="00642305">
            <w:pPr>
              <w:rPr>
                <w:sz w:val="20"/>
                <w:szCs w:val="20"/>
              </w:rPr>
            </w:pPr>
          </w:p>
        </w:tc>
        <w:tc>
          <w:tcPr>
            <w:tcW w:w="925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2C9804B" w14:textId="7B1DCEA9" w:rsidR="00344FC3" w:rsidRPr="00D73B01" w:rsidRDefault="00344FC3" w:rsidP="00642305">
            <w:pPr>
              <w:spacing w:before="75" w:after="150" w:line="360" w:lineRule="atLeast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Division within the community between project supporters and activists</w:t>
            </w:r>
          </w:p>
        </w:tc>
      </w:tr>
      <w:tr w:rsidR="00827892" w14:paraId="0146A392" w14:textId="77777777" w:rsidTr="002A10A9">
        <w:trPr>
          <w:trHeight w:val="444"/>
        </w:trPr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2F5496" w:themeFill="accent1" w:themeFillShade="BF"/>
          </w:tcPr>
          <w:p w14:paraId="1BE6B671" w14:textId="77777777" w:rsidR="00827892" w:rsidRPr="00D73B01" w:rsidRDefault="00827892" w:rsidP="00642305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F5496" w:themeFill="accent1" w:themeFillShade="BF"/>
          </w:tcPr>
          <w:p w14:paraId="7A519FE8" w14:textId="10C620D8" w:rsidR="00827892" w:rsidRPr="00D73B01" w:rsidRDefault="00827892" w:rsidP="00642305">
            <w:pPr>
              <w:rPr>
                <w:sz w:val="20"/>
                <w:szCs w:val="20"/>
              </w:rPr>
            </w:pPr>
          </w:p>
        </w:tc>
        <w:tc>
          <w:tcPr>
            <w:tcW w:w="925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8708FBA" w14:textId="61435940" w:rsidR="00827892" w:rsidRPr="00D73B01" w:rsidRDefault="00827892" w:rsidP="00642305">
            <w:pPr>
              <w:spacing w:before="75" w:after="150" w:line="360" w:lineRule="atLeast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  <w:r w:rsidRPr="00D73B01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Satisf</w:t>
            </w:r>
            <w:r w:rsidR="00F133FD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a</w:t>
            </w:r>
            <w:r w:rsidR="00E52195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ction</w:t>
            </w:r>
            <w:r w:rsidRPr="00D73B01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 xml:space="preserve"> that there is an outlet to obtain project information and provide feedback.</w:t>
            </w:r>
          </w:p>
        </w:tc>
      </w:tr>
      <w:tr w:rsidR="00827892" w14:paraId="6AA6CC93" w14:textId="77777777" w:rsidTr="00827892">
        <w:trPr>
          <w:trHeight w:val="444"/>
        </w:trPr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2F5496" w:themeFill="accent1" w:themeFillShade="BF"/>
          </w:tcPr>
          <w:p w14:paraId="6564BF52" w14:textId="77777777" w:rsidR="00827892" w:rsidRPr="00D73B01" w:rsidRDefault="00827892" w:rsidP="00642305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F5496" w:themeFill="accent1" w:themeFillShade="BF"/>
          </w:tcPr>
          <w:p w14:paraId="4437C37F" w14:textId="7CF1DAD3" w:rsidR="00827892" w:rsidRPr="00D73B01" w:rsidRDefault="00827892" w:rsidP="00642305">
            <w:pPr>
              <w:rPr>
                <w:sz w:val="20"/>
                <w:szCs w:val="20"/>
              </w:rPr>
            </w:pPr>
          </w:p>
        </w:tc>
        <w:tc>
          <w:tcPr>
            <w:tcW w:w="9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A53C484" w14:textId="50C10852" w:rsidR="00827892" w:rsidRPr="00D73B01" w:rsidRDefault="00827892" w:rsidP="00642305">
            <w:pPr>
              <w:spacing w:before="75" w:after="150" w:line="360" w:lineRule="atLeast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  <w:r w:rsidRPr="00D73B01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Investment of unpaid and unrecoverable time and resources to understand the information provided and conclude the personal impacts of the project.</w:t>
            </w:r>
          </w:p>
        </w:tc>
      </w:tr>
      <w:tr w:rsidR="00827892" w14:paraId="671C779F" w14:textId="77777777" w:rsidTr="00827892">
        <w:trPr>
          <w:trHeight w:val="531"/>
        </w:trPr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1F3864" w:themeFill="accent1" w:themeFillShade="80"/>
            <w:textDirection w:val="btLr"/>
          </w:tcPr>
          <w:p w14:paraId="2E394D48" w14:textId="77777777" w:rsidR="00827892" w:rsidRPr="00D73B01" w:rsidRDefault="00827892" w:rsidP="00642305">
            <w:pPr>
              <w:ind w:left="113" w:right="113"/>
              <w:rPr>
                <w:rFonts w:ascii="Arial" w:eastAsia="Times New Roman" w:hAnsi="Arial" w:cs="Arial"/>
                <w:b/>
                <w:i/>
                <w:sz w:val="20"/>
                <w:szCs w:val="20"/>
                <w:lang w:val="en" w:eastAsia="en-AU"/>
              </w:rPr>
            </w:pPr>
          </w:p>
        </w:tc>
        <w:tc>
          <w:tcPr>
            <w:tcW w:w="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1F3864" w:themeFill="accent1" w:themeFillShade="80"/>
            <w:textDirection w:val="btLr"/>
          </w:tcPr>
          <w:p w14:paraId="1C030E54" w14:textId="650C9191" w:rsidR="00827892" w:rsidRPr="00D73B01" w:rsidRDefault="00827892" w:rsidP="00642305">
            <w:pPr>
              <w:ind w:left="113" w:right="113"/>
              <w:rPr>
                <w:sz w:val="20"/>
                <w:szCs w:val="20"/>
              </w:rPr>
            </w:pPr>
            <w:r w:rsidRPr="00D73B01">
              <w:rPr>
                <w:rFonts w:ascii="Arial" w:eastAsia="Times New Roman" w:hAnsi="Arial" w:cs="Arial"/>
                <w:b/>
                <w:i/>
                <w:sz w:val="20"/>
                <w:szCs w:val="20"/>
                <w:lang w:val="en" w:eastAsia="en-AU"/>
              </w:rPr>
              <w:t>Information on EIA process provided to the community</w:t>
            </w:r>
          </w:p>
        </w:tc>
        <w:tc>
          <w:tcPr>
            <w:tcW w:w="9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C4967B6" w14:textId="1AE7CFB5" w:rsidR="00827892" w:rsidRPr="00D73B01" w:rsidRDefault="00827892" w:rsidP="00642305">
            <w:pPr>
              <w:spacing w:before="75" w:after="150" w:line="360" w:lineRule="atLeast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  <w:r w:rsidRPr="00D73B01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Conflicting views on the project between community groups creating disharmony.</w:t>
            </w:r>
          </w:p>
        </w:tc>
      </w:tr>
      <w:tr w:rsidR="00827892" w14:paraId="57518612" w14:textId="77777777" w:rsidTr="00827892">
        <w:trPr>
          <w:trHeight w:val="444"/>
        </w:trPr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1F3864" w:themeFill="accent1" w:themeFillShade="80"/>
          </w:tcPr>
          <w:p w14:paraId="7CD26258" w14:textId="77777777" w:rsidR="00827892" w:rsidRPr="00D73B01" w:rsidRDefault="00827892" w:rsidP="00642305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val="en" w:eastAsia="en-AU"/>
              </w:rPr>
            </w:pPr>
          </w:p>
        </w:tc>
        <w:tc>
          <w:tcPr>
            <w:tcW w:w="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1F3864" w:themeFill="accent1" w:themeFillShade="80"/>
          </w:tcPr>
          <w:p w14:paraId="4A260C0B" w14:textId="67568252" w:rsidR="00827892" w:rsidRPr="00D73B01" w:rsidRDefault="00827892" w:rsidP="00642305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val="en" w:eastAsia="en-AU"/>
              </w:rPr>
            </w:pPr>
          </w:p>
        </w:tc>
        <w:tc>
          <w:tcPr>
            <w:tcW w:w="92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0A8D073" w14:textId="31A0E07B" w:rsidR="00827892" w:rsidRPr="00D73B01" w:rsidRDefault="00827892" w:rsidP="00642305">
            <w:pPr>
              <w:spacing w:before="75" w:after="150" w:line="360" w:lineRule="atLeast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  <w:r w:rsidRPr="00D73B01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 xml:space="preserve">Concern </w:t>
            </w:r>
            <w:r w:rsidR="00E52195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 xml:space="preserve">for the time investment </w:t>
            </w:r>
            <w:r w:rsidRPr="00D73B01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 xml:space="preserve">needed to review </w:t>
            </w:r>
            <w:r w:rsidR="00E52195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EIA</w:t>
            </w:r>
            <w:r w:rsidRPr="00D73B01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 xml:space="preserve"> </w:t>
            </w:r>
            <w:r w:rsidR="00E52195" w:rsidRPr="00D73B01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documen</w:t>
            </w:r>
            <w:r w:rsidR="00E52195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tation</w:t>
            </w:r>
            <w:r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.</w:t>
            </w:r>
          </w:p>
        </w:tc>
      </w:tr>
      <w:tr w:rsidR="00827892" w14:paraId="50E30252" w14:textId="77777777" w:rsidTr="00827892">
        <w:trPr>
          <w:trHeight w:val="444"/>
        </w:trPr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1F3864" w:themeFill="accent1" w:themeFillShade="80"/>
          </w:tcPr>
          <w:p w14:paraId="4992FC78" w14:textId="77777777" w:rsidR="00827892" w:rsidRPr="00D73B01" w:rsidRDefault="00827892" w:rsidP="00642305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val="en" w:eastAsia="en-AU"/>
              </w:rPr>
            </w:pPr>
          </w:p>
        </w:tc>
        <w:tc>
          <w:tcPr>
            <w:tcW w:w="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1F3864" w:themeFill="accent1" w:themeFillShade="80"/>
          </w:tcPr>
          <w:p w14:paraId="6D914684" w14:textId="2E13D304" w:rsidR="00827892" w:rsidRPr="00D73B01" w:rsidRDefault="00827892" w:rsidP="00642305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val="en" w:eastAsia="en-AU"/>
              </w:rPr>
            </w:pPr>
          </w:p>
        </w:tc>
        <w:tc>
          <w:tcPr>
            <w:tcW w:w="92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94B17F5" w14:textId="77777777" w:rsidR="00827892" w:rsidRPr="00D73B01" w:rsidRDefault="00827892" w:rsidP="00642305">
            <w:pPr>
              <w:spacing w:before="75" w:after="150" w:line="360" w:lineRule="atLeast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  <w:r w:rsidRPr="00D73B01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Concern that the process is unfamiliar and/or confusing.</w:t>
            </w:r>
          </w:p>
        </w:tc>
      </w:tr>
      <w:tr w:rsidR="00827892" w14:paraId="0198FD8B" w14:textId="77777777" w:rsidTr="00827892">
        <w:trPr>
          <w:trHeight w:val="444"/>
        </w:trPr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1F3864" w:themeFill="accent1" w:themeFillShade="80"/>
          </w:tcPr>
          <w:p w14:paraId="5839F047" w14:textId="77777777" w:rsidR="00827892" w:rsidRPr="00D73B01" w:rsidRDefault="00827892" w:rsidP="00642305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val="en" w:eastAsia="en-AU"/>
              </w:rPr>
            </w:pPr>
          </w:p>
        </w:tc>
        <w:tc>
          <w:tcPr>
            <w:tcW w:w="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1F3864" w:themeFill="accent1" w:themeFillShade="80"/>
          </w:tcPr>
          <w:p w14:paraId="2FDCE86B" w14:textId="26EC7464" w:rsidR="00827892" w:rsidRPr="00D73B01" w:rsidRDefault="00827892" w:rsidP="00642305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val="en" w:eastAsia="en-AU"/>
              </w:rPr>
            </w:pPr>
          </w:p>
        </w:tc>
        <w:tc>
          <w:tcPr>
            <w:tcW w:w="92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8CD2889" w14:textId="4031FBFF" w:rsidR="00827892" w:rsidRPr="00D73B01" w:rsidRDefault="00827892" w:rsidP="00642305">
            <w:pPr>
              <w:spacing w:before="75" w:after="150" w:line="360" w:lineRule="atLeast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  <w:r w:rsidRPr="00D73B01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Concern that the technical studies will be inadequate, insufficient, or will result in the wrong conclusions and or ineffective conditions</w:t>
            </w:r>
            <w:r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.</w:t>
            </w:r>
          </w:p>
        </w:tc>
      </w:tr>
      <w:tr w:rsidR="00827892" w14:paraId="1D8B0D0D" w14:textId="77777777" w:rsidTr="00827892">
        <w:trPr>
          <w:trHeight w:val="444"/>
        </w:trPr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1F3864" w:themeFill="accent1" w:themeFillShade="80"/>
          </w:tcPr>
          <w:p w14:paraId="09D21E12" w14:textId="77777777" w:rsidR="00827892" w:rsidRPr="00D73B01" w:rsidRDefault="00827892" w:rsidP="00642305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val="en" w:eastAsia="en-AU"/>
              </w:rPr>
            </w:pPr>
          </w:p>
        </w:tc>
        <w:tc>
          <w:tcPr>
            <w:tcW w:w="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1F3864" w:themeFill="accent1" w:themeFillShade="80"/>
          </w:tcPr>
          <w:p w14:paraId="654374F1" w14:textId="41C3A65D" w:rsidR="00827892" w:rsidRPr="00D73B01" w:rsidRDefault="00827892" w:rsidP="00642305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val="en" w:eastAsia="en-AU"/>
              </w:rPr>
            </w:pPr>
          </w:p>
        </w:tc>
        <w:tc>
          <w:tcPr>
            <w:tcW w:w="92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7EA2B46" w14:textId="1F795331" w:rsidR="00827892" w:rsidRPr="00D73B01" w:rsidRDefault="00827892" w:rsidP="00642305">
            <w:pPr>
              <w:spacing w:before="75" w:after="150" w:line="360" w:lineRule="atLeast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  <w:r w:rsidRPr="00D73B01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Skepticism of the process - concern that the E</w:t>
            </w:r>
            <w:r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IA</w:t>
            </w:r>
            <w:r w:rsidRPr="00D73B01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 xml:space="preserve"> is simply a rubber stamp</w:t>
            </w:r>
            <w:r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 xml:space="preserve"> exercis</w:t>
            </w:r>
            <w:r w:rsidR="00E52195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e</w:t>
            </w:r>
            <w:r w:rsidRPr="00D73B01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.</w:t>
            </w:r>
          </w:p>
        </w:tc>
      </w:tr>
      <w:tr w:rsidR="00827892" w14:paraId="1BC830AB" w14:textId="77777777" w:rsidTr="00827892">
        <w:trPr>
          <w:trHeight w:val="444"/>
        </w:trPr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1F3864" w:themeFill="accent1" w:themeFillShade="80"/>
          </w:tcPr>
          <w:p w14:paraId="7341CC18" w14:textId="77777777" w:rsidR="00827892" w:rsidRPr="00D73B01" w:rsidRDefault="00827892" w:rsidP="00642305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val="en" w:eastAsia="en-AU"/>
              </w:rPr>
            </w:pPr>
          </w:p>
        </w:tc>
        <w:tc>
          <w:tcPr>
            <w:tcW w:w="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1F3864" w:themeFill="accent1" w:themeFillShade="80"/>
          </w:tcPr>
          <w:p w14:paraId="7A805F6C" w14:textId="5CD85BAC" w:rsidR="00827892" w:rsidRPr="00D73B01" w:rsidRDefault="00827892" w:rsidP="00642305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val="en" w:eastAsia="en-AU"/>
              </w:rPr>
            </w:pPr>
          </w:p>
        </w:tc>
        <w:tc>
          <w:tcPr>
            <w:tcW w:w="92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9D998D0" w14:textId="76C40F83" w:rsidR="00827892" w:rsidRPr="00D73B01" w:rsidRDefault="00827892" w:rsidP="00642305">
            <w:pPr>
              <w:spacing w:before="75" w:after="150" w:line="360" w:lineRule="atLeast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  <w:r w:rsidRPr="00D73B01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 xml:space="preserve">Feeling of pressure to form a </w:t>
            </w:r>
            <w:r w:rsidR="00E52195" w:rsidRPr="00D73B01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view or</w:t>
            </w:r>
            <w:r w:rsidRPr="00D73B01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 xml:space="preserve"> take a side on the project</w:t>
            </w:r>
            <w:r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.</w:t>
            </w:r>
          </w:p>
        </w:tc>
      </w:tr>
      <w:tr w:rsidR="00827892" w14:paraId="1046A425" w14:textId="77777777" w:rsidTr="00827892">
        <w:trPr>
          <w:trHeight w:val="444"/>
        </w:trPr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1F3864" w:themeFill="accent1" w:themeFillShade="80"/>
          </w:tcPr>
          <w:p w14:paraId="2A635235" w14:textId="77777777" w:rsidR="00827892" w:rsidRPr="00D73B01" w:rsidRDefault="00827892" w:rsidP="00642305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val="en" w:eastAsia="en-AU"/>
              </w:rPr>
            </w:pPr>
          </w:p>
        </w:tc>
        <w:tc>
          <w:tcPr>
            <w:tcW w:w="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F3864" w:themeFill="accent1" w:themeFillShade="80"/>
          </w:tcPr>
          <w:p w14:paraId="69FFC013" w14:textId="3E3FA32A" w:rsidR="00827892" w:rsidRPr="00D73B01" w:rsidRDefault="00827892" w:rsidP="00642305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val="en" w:eastAsia="en-AU"/>
              </w:rPr>
            </w:pPr>
          </w:p>
        </w:tc>
        <w:tc>
          <w:tcPr>
            <w:tcW w:w="9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3787C56" w14:textId="4FEB99DE" w:rsidR="00827892" w:rsidRPr="00D73B01" w:rsidRDefault="00827892" w:rsidP="00642305">
            <w:pPr>
              <w:spacing w:before="75" w:after="150" w:line="360" w:lineRule="atLeast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  <w:r w:rsidRPr="00D73B01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Time and effort seeking out ‘trusted’ opinions on process.</w:t>
            </w:r>
          </w:p>
        </w:tc>
      </w:tr>
      <w:tr w:rsidR="00827892" w14:paraId="53001D0C" w14:textId="77777777" w:rsidTr="00827892">
        <w:trPr>
          <w:trHeight w:val="444"/>
        </w:trPr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1F4E79" w:themeFill="accent5" w:themeFillShade="80"/>
            <w:textDirection w:val="btLr"/>
          </w:tcPr>
          <w:p w14:paraId="502EB7EF" w14:textId="77777777" w:rsidR="00827892" w:rsidRPr="00D73B01" w:rsidRDefault="00827892" w:rsidP="00642305">
            <w:pPr>
              <w:ind w:left="113" w:right="113"/>
              <w:rPr>
                <w:rFonts w:ascii="Arial" w:eastAsia="Times New Roman" w:hAnsi="Arial" w:cs="Arial"/>
                <w:b/>
                <w:i/>
                <w:sz w:val="20"/>
                <w:szCs w:val="20"/>
                <w:lang w:val="en" w:eastAsia="en-AU"/>
              </w:rPr>
            </w:pPr>
          </w:p>
        </w:tc>
        <w:tc>
          <w:tcPr>
            <w:tcW w:w="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1F4E79" w:themeFill="accent5" w:themeFillShade="80"/>
            <w:textDirection w:val="btLr"/>
          </w:tcPr>
          <w:p w14:paraId="0113DC10" w14:textId="3F558DD3" w:rsidR="00827892" w:rsidRPr="00D73B01" w:rsidRDefault="00827892" w:rsidP="00642305">
            <w:pPr>
              <w:ind w:left="113" w:right="113"/>
              <w:rPr>
                <w:rFonts w:ascii="Arial" w:eastAsia="Times New Roman" w:hAnsi="Arial" w:cs="Arial"/>
                <w:b/>
                <w:i/>
                <w:sz w:val="20"/>
                <w:szCs w:val="20"/>
                <w:lang w:val="en" w:eastAsia="en-AU"/>
              </w:rPr>
            </w:pPr>
            <w:r w:rsidRPr="00D73B01">
              <w:rPr>
                <w:rFonts w:ascii="Arial" w:eastAsia="Times New Roman" w:hAnsi="Arial" w:cs="Arial"/>
                <w:b/>
                <w:i/>
                <w:sz w:val="20"/>
                <w:szCs w:val="20"/>
                <w:lang w:val="en" w:eastAsia="en-AU"/>
              </w:rPr>
              <w:t>EES Public Exhibition</w:t>
            </w:r>
          </w:p>
        </w:tc>
        <w:tc>
          <w:tcPr>
            <w:tcW w:w="9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1EE0343" w14:textId="31D9AC91" w:rsidR="00827892" w:rsidRPr="00D73B01" w:rsidRDefault="00827892" w:rsidP="00642305">
            <w:pPr>
              <w:spacing w:before="75" w:after="150" w:line="360" w:lineRule="atLeast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  <w:r w:rsidRPr="00D73B01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Lack of confidence the consultants preparing the technical studies and EES document are completely objective due to their engage</w:t>
            </w:r>
            <w:r w:rsidR="00E52195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ment</w:t>
            </w:r>
            <w:r w:rsidRPr="00D73B01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 xml:space="preserve"> by the</w:t>
            </w:r>
            <w:r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 xml:space="preserve"> proponent</w:t>
            </w:r>
            <w:r w:rsidRPr="00D73B01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 xml:space="preserve">. </w:t>
            </w:r>
          </w:p>
        </w:tc>
      </w:tr>
      <w:tr w:rsidR="00827892" w14:paraId="37B2CC34" w14:textId="77777777" w:rsidTr="00827892">
        <w:trPr>
          <w:trHeight w:val="444"/>
        </w:trPr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1F4E79" w:themeFill="accent5" w:themeFillShade="80"/>
          </w:tcPr>
          <w:p w14:paraId="32318167" w14:textId="77777777" w:rsidR="00827892" w:rsidRPr="00D73B01" w:rsidRDefault="00827892" w:rsidP="00642305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val="en" w:eastAsia="en-AU"/>
              </w:rPr>
            </w:pPr>
          </w:p>
        </w:tc>
        <w:tc>
          <w:tcPr>
            <w:tcW w:w="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1F4E79" w:themeFill="accent5" w:themeFillShade="80"/>
          </w:tcPr>
          <w:p w14:paraId="4667368B" w14:textId="2B533553" w:rsidR="00827892" w:rsidRPr="00D73B01" w:rsidRDefault="00827892" w:rsidP="00642305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val="en" w:eastAsia="en-AU"/>
              </w:rPr>
            </w:pPr>
          </w:p>
        </w:tc>
        <w:tc>
          <w:tcPr>
            <w:tcW w:w="92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0A43C88" w14:textId="77777777" w:rsidR="00827892" w:rsidRPr="00D73B01" w:rsidRDefault="00827892" w:rsidP="00642305">
            <w:pPr>
              <w:spacing w:before="75" w:after="150" w:line="360" w:lineRule="atLeast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  <w:r w:rsidRPr="00D73B01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Emotional stress and concern regarding the time, skills, and resources needed to read and review relevant documents and make a submission.</w:t>
            </w:r>
          </w:p>
        </w:tc>
      </w:tr>
      <w:tr w:rsidR="00827892" w14:paraId="12138444" w14:textId="77777777" w:rsidTr="00827892">
        <w:trPr>
          <w:trHeight w:val="444"/>
        </w:trPr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1F4E79" w:themeFill="accent5" w:themeFillShade="80"/>
          </w:tcPr>
          <w:p w14:paraId="58A5424C" w14:textId="77777777" w:rsidR="00827892" w:rsidRPr="00D73B01" w:rsidRDefault="00827892" w:rsidP="00642305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val="en" w:eastAsia="en-AU"/>
              </w:rPr>
            </w:pPr>
          </w:p>
        </w:tc>
        <w:tc>
          <w:tcPr>
            <w:tcW w:w="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1F4E79" w:themeFill="accent5" w:themeFillShade="80"/>
          </w:tcPr>
          <w:p w14:paraId="6150B378" w14:textId="303E1480" w:rsidR="00827892" w:rsidRPr="00D73B01" w:rsidRDefault="00827892" w:rsidP="00642305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val="en" w:eastAsia="en-AU"/>
              </w:rPr>
            </w:pPr>
          </w:p>
        </w:tc>
        <w:tc>
          <w:tcPr>
            <w:tcW w:w="92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001D9F5" w14:textId="77777777" w:rsidR="00827892" w:rsidRPr="00D73B01" w:rsidRDefault="00827892" w:rsidP="00642305">
            <w:pPr>
              <w:spacing w:before="75" w:after="150" w:line="360" w:lineRule="atLeast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  <w:r w:rsidRPr="00D73B01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Feeling of technical inexperience to identify project inefficiencies.</w:t>
            </w:r>
          </w:p>
        </w:tc>
      </w:tr>
      <w:tr w:rsidR="00827892" w14:paraId="12749509" w14:textId="77777777" w:rsidTr="00827892">
        <w:trPr>
          <w:trHeight w:val="444"/>
        </w:trPr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1F4E79" w:themeFill="accent5" w:themeFillShade="80"/>
          </w:tcPr>
          <w:p w14:paraId="68074AD5" w14:textId="77777777" w:rsidR="00827892" w:rsidRPr="00D73B01" w:rsidRDefault="00827892" w:rsidP="00642305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val="en" w:eastAsia="en-AU"/>
              </w:rPr>
            </w:pPr>
          </w:p>
        </w:tc>
        <w:tc>
          <w:tcPr>
            <w:tcW w:w="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1F4E79" w:themeFill="accent5" w:themeFillShade="80"/>
          </w:tcPr>
          <w:p w14:paraId="11C5ECB6" w14:textId="56ED489B" w:rsidR="00827892" w:rsidRPr="00D73B01" w:rsidRDefault="00827892" w:rsidP="00642305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val="en" w:eastAsia="en-AU"/>
              </w:rPr>
            </w:pPr>
          </w:p>
        </w:tc>
        <w:tc>
          <w:tcPr>
            <w:tcW w:w="9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116CAF2" w14:textId="28CAF4FB" w:rsidR="00827892" w:rsidRPr="00D73B01" w:rsidRDefault="00827892" w:rsidP="00642305">
            <w:pPr>
              <w:spacing w:before="75" w:after="150" w:line="360" w:lineRule="atLeast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  <w:r w:rsidRPr="00D73B01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Skepticism about the equity of the exhibition process due to community being unfunded and resourced to review and understand highly technical stud</w:t>
            </w:r>
            <w:r w:rsidR="00E52195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ies</w:t>
            </w:r>
            <w:r w:rsidRPr="00D73B01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, and the exhibition phase being the only statutory mechanism for input apart of the Panel Hearing.</w:t>
            </w:r>
          </w:p>
        </w:tc>
      </w:tr>
      <w:tr w:rsidR="00827892" w14:paraId="2544E5D9" w14:textId="77777777" w:rsidTr="00827892">
        <w:trPr>
          <w:trHeight w:val="444"/>
        </w:trPr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222A35" w:themeFill="text2" w:themeFillShade="80"/>
            <w:textDirection w:val="btLr"/>
          </w:tcPr>
          <w:p w14:paraId="672DE747" w14:textId="77777777" w:rsidR="00827892" w:rsidRPr="00D73B01" w:rsidRDefault="00827892" w:rsidP="00642305">
            <w:pPr>
              <w:ind w:left="113" w:right="113"/>
              <w:rPr>
                <w:rFonts w:ascii="Arial" w:eastAsia="Times New Roman" w:hAnsi="Arial" w:cs="Arial"/>
                <w:b/>
                <w:i/>
                <w:sz w:val="20"/>
                <w:szCs w:val="20"/>
                <w:lang w:val="en" w:eastAsia="en-AU"/>
              </w:rPr>
            </w:pPr>
          </w:p>
        </w:tc>
        <w:tc>
          <w:tcPr>
            <w:tcW w:w="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222A35" w:themeFill="text2" w:themeFillShade="80"/>
            <w:textDirection w:val="btLr"/>
          </w:tcPr>
          <w:p w14:paraId="1D863C22" w14:textId="7ACEB620" w:rsidR="00827892" w:rsidRPr="00D73B01" w:rsidRDefault="00827892" w:rsidP="00642305">
            <w:pPr>
              <w:ind w:left="113" w:right="113"/>
              <w:rPr>
                <w:rFonts w:ascii="Arial" w:eastAsia="Times New Roman" w:hAnsi="Arial" w:cs="Arial"/>
                <w:b/>
                <w:i/>
                <w:sz w:val="20"/>
                <w:szCs w:val="20"/>
                <w:lang w:val="en" w:eastAsia="en-AU"/>
              </w:rPr>
            </w:pPr>
            <w:r w:rsidRPr="00D73B01">
              <w:rPr>
                <w:rFonts w:ascii="Arial" w:eastAsia="Times New Roman" w:hAnsi="Arial" w:cs="Arial"/>
                <w:b/>
                <w:i/>
                <w:sz w:val="20"/>
                <w:szCs w:val="20"/>
                <w:lang w:val="en" w:eastAsia="en-AU"/>
              </w:rPr>
              <w:t>Panel Hearing</w:t>
            </w:r>
          </w:p>
        </w:tc>
        <w:tc>
          <w:tcPr>
            <w:tcW w:w="9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1BDB13A" w14:textId="6774F573" w:rsidR="00827892" w:rsidRPr="00D73B01" w:rsidRDefault="00827892" w:rsidP="00642305">
            <w:pPr>
              <w:spacing w:before="75" w:after="150" w:line="360" w:lineRule="atLeast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  <w:r w:rsidRPr="00D73B01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Perceived conflict of interest of expert witnesses called by the</w:t>
            </w:r>
            <w:r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 xml:space="preserve"> proponent </w:t>
            </w:r>
            <w:r w:rsidRPr="00D73B01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at Panel hearings. Their duty is to the Panel</w:t>
            </w:r>
            <w:r w:rsidR="00E52195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 xml:space="preserve">, </w:t>
            </w:r>
            <w:r w:rsidR="007E7C9C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h</w:t>
            </w:r>
            <w:r w:rsidR="007E7C9C" w:rsidRPr="00D73B01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oweve</w:t>
            </w:r>
            <w:r w:rsidRPr="00D73B01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 xml:space="preserve">r they do not appear </w:t>
            </w:r>
            <w:r w:rsidR="00E52195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‘</w:t>
            </w:r>
            <w:r w:rsidRPr="00D73B01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independent</w:t>
            </w:r>
            <w:r w:rsidR="007E7C9C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’</w:t>
            </w:r>
            <w:r w:rsidRPr="00D73B01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 xml:space="preserve"> to the community.</w:t>
            </w:r>
          </w:p>
        </w:tc>
      </w:tr>
      <w:tr w:rsidR="00827892" w14:paraId="1FB0C0DE" w14:textId="77777777" w:rsidTr="00827892">
        <w:trPr>
          <w:trHeight w:val="444"/>
        </w:trPr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222A35" w:themeFill="text2" w:themeFillShade="80"/>
          </w:tcPr>
          <w:p w14:paraId="325777EB" w14:textId="77777777" w:rsidR="00827892" w:rsidRPr="00D73B01" w:rsidRDefault="00827892" w:rsidP="00642305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val="en" w:eastAsia="en-AU"/>
              </w:rPr>
            </w:pPr>
          </w:p>
        </w:tc>
        <w:tc>
          <w:tcPr>
            <w:tcW w:w="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222A35" w:themeFill="text2" w:themeFillShade="80"/>
          </w:tcPr>
          <w:p w14:paraId="5F327F43" w14:textId="670E8028" w:rsidR="00827892" w:rsidRPr="00D73B01" w:rsidRDefault="00827892" w:rsidP="00642305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val="en" w:eastAsia="en-AU"/>
              </w:rPr>
            </w:pPr>
          </w:p>
        </w:tc>
        <w:tc>
          <w:tcPr>
            <w:tcW w:w="92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F49077B" w14:textId="5F5CBF47" w:rsidR="00827892" w:rsidRPr="00D73B01" w:rsidRDefault="002D145C" w:rsidP="00642305">
            <w:pPr>
              <w:spacing w:before="75" w:after="150" w:line="360" w:lineRule="atLeast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Perceived l</w:t>
            </w:r>
            <w:r w:rsidR="00827892" w:rsidRPr="00D73B01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ack of equ</w:t>
            </w:r>
            <w:r w:rsidR="007E7C9C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al access</w:t>
            </w:r>
            <w:r w:rsidR="00827892" w:rsidRPr="00D73B01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 xml:space="preserve"> to resources to provide technical based Panel Submission</w:t>
            </w:r>
            <w:r w:rsidR="007E7C9C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 xml:space="preserve">. </w:t>
            </w:r>
            <w:r w:rsidR="00827892" w:rsidRPr="00D73B01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Submitters are in a more impoverished position in obtaining expert material and retaining witnesses due to</w:t>
            </w:r>
            <w:r w:rsidR="007E7C9C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 xml:space="preserve"> ’ability to pay’</w:t>
            </w:r>
            <w:r w:rsidR="00827892" w:rsidRPr="00D73B01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 xml:space="preserve">, knowledge of where to find experts, and possibly </w:t>
            </w:r>
            <w:r w:rsidRPr="00D73B01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because</w:t>
            </w:r>
            <w:r w:rsidR="00827892" w:rsidRPr="00D73B01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 xml:space="preserve"> some experts may </w:t>
            </w:r>
            <w:r w:rsidR="007E7C9C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 xml:space="preserve">not </w:t>
            </w:r>
            <w:r w:rsidR="00827892" w:rsidRPr="00D73B01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be inclined to run a case that is contrary to the proposal.</w:t>
            </w:r>
          </w:p>
        </w:tc>
      </w:tr>
      <w:tr w:rsidR="00827892" w14:paraId="041A0ABC" w14:textId="77777777" w:rsidTr="00827892">
        <w:trPr>
          <w:trHeight w:val="444"/>
        </w:trPr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222A35" w:themeFill="text2" w:themeFillShade="80"/>
          </w:tcPr>
          <w:p w14:paraId="7C54366E" w14:textId="77777777" w:rsidR="00827892" w:rsidRPr="00D73B01" w:rsidRDefault="00827892" w:rsidP="00642305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val="en" w:eastAsia="en-AU"/>
              </w:rPr>
            </w:pPr>
          </w:p>
        </w:tc>
        <w:tc>
          <w:tcPr>
            <w:tcW w:w="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222A35" w:themeFill="text2" w:themeFillShade="80"/>
          </w:tcPr>
          <w:p w14:paraId="5AE3CD8D" w14:textId="60A02FBC" w:rsidR="00827892" w:rsidRPr="00D73B01" w:rsidRDefault="00827892" w:rsidP="00642305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val="en" w:eastAsia="en-AU"/>
              </w:rPr>
            </w:pPr>
          </w:p>
        </w:tc>
        <w:tc>
          <w:tcPr>
            <w:tcW w:w="92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051904F" w14:textId="77777777" w:rsidR="00827892" w:rsidRPr="00D73B01" w:rsidRDefault="00827892" w:rsidP="00642305">
            <w:pPr>
              <w:spacing w:before="75" w:after="150" w:line="360" w:lineRule="atLeast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  <w:r w:rsidRPr="00D73B01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Emotional stress and concern regarding the time, skills, resources and experience needed to make a panel submission.</w:t>
            </w:r>
          </w:p>
        </w:tc>
      </w:tr>
      <w:tr w:rsidR="00827892" w14:paraId="53AA13E9" w14:textId="77777777" w:rsidTr="00827892">
        <w:trPr>
          <w:trHeight w:val="444"/>
        </w:trPr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222A35" w:themeFill="text2" w:themeFillShade="80"/>
          </w:tcPr>
          <w:p w14:paraId="6813DBAD" w14:textId="77777777" w:rsidR="00827892" w:rsidRPr="00D73B01" w:rsidRDefault="00827892" w:rsidP="00642305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val="en" w:eastAsia="en-AU"/>
              </w:rPr>
            </w:pPr>
          </w:p>
        </w:tc>
        <w:tc>
          <w:tcPr>
            <w:tcW w:w="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222A35" w:themeFill="text2" w:themeFillShade="80"/>
          </w:tcPr>
          <w:p w14:paraId="761A6E4A" w14:textId="45B912D2" w:rsidR="00827892" w:rsidRPr="00D73B01" w:rsidRDefault="00827892" w:rsidP="00642305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val="en" w:eastAsia="en-AU"/>
              </w:rPr>
            </w:pPr>
          </w:p>
        </w:tc>
        <w:tc>
          <w:tcPr>
            <w:tcW w:w="92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F05FC39" w14:textId="4590B68F" w:rsidR="00827892" w:rsidRPr="00D73B01" w:rsidRDefault="00827892" w:rsidP="00642305">
            <w:pPr>
              <w:spacing w:before="75" w:after="150" w:line="360" w:lineRule="atLeast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  <w:r w:rsidRPr="00D73B01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Time and money invested in understanding the panel process and preparing and presenting.</w:t>
            </w:r>
          </w:p>
        </w:tc>
      </w:tr>
      <w:tr w:rsidR="00827892" w14:paraId="12CA97EF" w14:textId="77777777" w:rsidTr="00827892">
        <w:trPr>
          <w:trHeight w:val="444"/>
        </w:trPr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222A35" w:themeFill="text2" w:themeFillShade="80"/>
          </w:tcPr>
          <w:p w14:paraId="02E94472" w14:textId="77777777" w:rsidR="00827892" w:rsidRPr="00D73B01" w:rsidRDefault="00827892" w:rsidP="00642305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val="en" w:eastAsia="en-AU"/>
              </w:rPr>
            </w:pPr>
          </w:p>
        </w:tc>
        <w:tc>
          <w:tcPr>
            <w:tcW w:w="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222A35" w:themeFill="text2" w:themeFillShade="80"/>
          </w:tcPr>
          <w:p w14:paraId="3ECABF91" w14:textId="5CDF706F" w:rsidR="00827892" w:rsidRPr="00D73B01" w:rsidRDefault="00827892" w:rsidP="00642305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val="en" w:eastAsia="en-AU"/>
              </w:rPr>
            </w:pPr>
          </w:p>
        </w:tc>
        <w:tc>
          <w:tcPr>
            <w:tcW w:w="92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323E310" w14:textId="77777777" w:rsidR="00827892" w:rsidRPr="00D73B01" w:rsidRDefault="00827892" w:rsidP="00642305">
            <w:pPr>
              <w:spacing w:before="75" w:after="150" w:line="360" w:lineRule="atLeast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  <w:r w:rsidRPr="00D73B01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Concern and stress that there is no objective way to present to the Panel members about subjective values such as natural beauty, community values</w:t>
            </w:r>
          </w:p>
        </w:tc>
      </w:tr>
      <w:tr w:rsidR="00827892" w14:paraId="4F12FF22" w14:textId="77777777" w:rsidTr="00827892">
        <w:trPr>
          <w:cantSplit/>
          <w:trHeight w:val="1134"/>
        </w:trPr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14:paraId="1AF7406E" w14:textId="77777777" w:rsidR="00827892" w:rsidRPr="00D73B01" w:rsidRDefault="00827892" w:rsidP="00C410A7">
            <w:pPr>
              <w:ind w:left="113" w:right="113"/>
              <w:rPr>
                <w:rFonts w:ascii="Arial" w:eastAsia="Times New Roman" w:hAnsi="Arial" w:cs="Arial"/>
                <w:b/>
                <w:i/>
                <w:sz w:val="20"/>
                <w:szCs w:val="20"/>
                <w:lang w:val="en" w:eastAsia="en-AU"/>
              </w:rPr>
            </w:pPr>
          </w:p>
        </w:tc>
        <w:tc>
          <w:tcPr>
            <w:tcW w:w="8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14:paraId="19EF995D" w14:textId="49F36F07" w:rsidR="00827892" w:rsidRPr="00D73B01" w:rsidRDefault="00827892" w:rsidP="00C410A7">
            <w:pPr>
              <w:ind w:left="113" w:right="113"/>
              <w:rPr>
                <w:rFonts w:ascii="Arial" w:eastAsia="Times New Roman" w:hAnsi="Arial" w:cs="Arial"/>
                <w:b/>
                <w:i/>
                <w:sz w:val="20"/>
                <w:szCs w:val="20"/>
                <w:lang w:val="en" w:eastAsia="en-AU"/>
              </w:rPr>
            </w:pPr>
            <w:r w:rsidRPr="00D73B01">
              <w:rPr>
                <w:rFonts w:ascii="Arial" w:eastAsia="Times New Roman" w:hAnsi="Arial" w:cs="Arial"/>
                <w:b/>
                <w:i/>
                <w:sz w:val="20"/>
                <w:szCs w:val="20"/>
                <w:lang w:val="en" w:eastAsia="en-AU"/>
              </w:rPr>
              <w:t>General</w:t>
            </w:r>
          </w:p>
        </w:tc>
        <w:tc>
          <w:tcPr>
            <w:tcW w:w="9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7DB31D2" w14:textId="0FEA508F" w:rsidR="00544826" w:rsidRPr="00D73B01" w:rsidRDefault="00827892" w:rsidP="00642305">
            <w:pPr>
              <w:spacing w:before="75" w:after="150" w:line="360" w:lineRule="atLeast"/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</w:pPr>
            <w:r w:rsidRPr="00D73B01"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Local government using rate payer funding to participate in the process</w:t>
            </w:r>
            <w:r>
              <w:rPr>
                <w:rFonts w:ascii="Arial" w:eastAsia="Times New Roman" w:hAnsi="Arial" w:cs="Arial"/>
                <w:sz w:val="20"/>
                <w:szCs w:val="20"/>
                <w:lang w:val="en" w:eastAsia="en-AU"/>
              </w:rPr>
              <w:t>, which impacts on local governments ability to fund other projects.</w:t>
            </w:r>
          </w:p>
        </w:tc>
      </w:tr>
    </w:tbl>
    <w:bookmarkEnd w:id="0"/>
    <w:p w14:paraId="79B7EF0E" w14:textId="555F4939" w:rsidR="00BC2A71" w:rsidRDefault="006D5CDF" w:rsidP="00642305">
      <w:pPr>
        <w:spacing w:before="75" w:after="150" w:line="360" w:lineRule="atLeast"/>
        <w:rPr>
          <w:rFonts w:ascii="Arial Unicode MS" w:eastAsia="Arial Unicode MS" w:hAnsi="Arial Unicode MS" w:cs="Arial Unicode MS"/>
          <w:sz w:val="24"/>
          <w:szCs w:val="24"/>
        </w:rPr>
      </w:pPr>
      <w:r w:rsidRPr="0084158C">
        <w:rPr>
          <w:rFonts w:ascii="Arial Unicode MS" w:eastAsia="Arial Unicode MS" w:hAnsi="Arial Unicode MS" w:cs="Arial Unicode MS"/>
          <w:b/>
          <w:i/>
          <w:sz w:val="24"/>
          <w:szCs w:val="24"/>
        </w:rPr>
        <w:t>C</w:t>
      </w:r>
      <w:r w:rsidR="00316365">
        <w:rPr>
          <w:rFonts w:ascii="Arial Unicode MS" w:eastAsia="Arial Unicode MS" w:hAnsi="Arial Unicode MS" w:cs="Arial Unicode MS"/>
          <w:b/>
          <w:i/>
          <w:sz w:val="24"/>
          <w:szCs w:val="24"/>
        </w:rPr>
        <w:t>ommon Themes</w:t>
      </w:r>
    </w:p>
    <w:p w14:paraId="60A19AAA" w14:textId="1BB83530" w:rsidR="008A727C" w:rsidRPr="00C27067" w:rsidRDefault="008A727C" w:rsidP="00316365">
      <w:pPr>
        <w:spacing w:before="75" w:after="150" w:line="360" w:lineRule="atLeast"/>
        <w:rPr>
          <w:rFonts w:ascii="Arial" w:eastAsia="Times New Roman" w:hAnsi="Arial" w:cs="Arial"/>
          <w:lang w:val="en" w:eastAsia="en-AU"/>
        </w:rPr>
      </w:pPr>
      <w:r w:rsidRPr="00C27067">
        <w:rPr>
          <w:rFonts w:ascii="Arial" w:eastAsia="Times New Roman" w:hAnsi="Arial" w:cs="Arial"/>
          <w:lang w:val="en" w:eastAsia="en-AU"/>
        </w:rPr>
        <w:t xml:space="preserve">The </w:t>
      </w:r>
      <w:r w:rsidR="00C13709" w:rsidRPr="00C27067">
        <w:rPr>
          <w:rFonts w:ascii="Arial" w:eastAsia="Times New Roman" w:hAnsi="Arial" w:cs="Arial"/>
          <w:lang w:val="en" w:eastAsia="en-AU"/>
        </w:rPr>
        <w:t xml:space="preserve">two </w:t>
      </w:r>
      <w:r w:rsidRPr="00C27067">
        <w:rPr>
          <w:rFonts w:ascii="Arial" w:eastAsia="Times New Roman" w:hAnsi="Arial" w:cs="Arial"/>
          <w:lang w:val="en" w:eastAsia="en-AU"/>
        </w:rPr>
        <w:t xml:space="preserve">main categories of </w:t>
      </w:r>
      <w:r w:rsidR="00995589">
        <w:rPr>
          <w:rFonts w:ascii="Arial" w:eastAsia="Times New Roman" w:hAnsi="Arial" w:cs="Arial"/>
          <w:lang w:val="en" w:eastAsia="en-AU"/>
        </w:rPr>
        <w:t xml:space="preserve">EIA process </w:t>
      </w:r>
      <w:r w:rsidR="006A70B5" w:rsidRPr="00C27067">
        <w:rPr>
          <w:rFonts w:ascii="Arial" w:eastAsia="Times New Roman" w:hAnsi="Arial" w:cs="Arial"/>
          <w:lang w:val="en" w:eastAsia="en-AU"/>
        </w:rPr>
        <w:t>impact</w:t>
      </w:r>
      <w:r w:rsidRPr="00C27067">
        <w:rPr>
          <w:rFonts w:ascii="Arial" w:eastAsia="Times New Roman" w:hAnsi="Arial" w:cs="Arial"/>
          <w:lang w:val="en" w:eastAsia="en-AU"/>
        </w:rPr>
        <w:t xml:space="preserve"> </w:t>
      </w:r>
      <w:r w:rsidR="00C13709" w:rsidRPr="00C27067">
        <w:rPr>
          <w:rFonts w:ascii="Arial" w:eastAsia="Times New Roman" w:hAnsi="Arial" w:cs="Arial"/>
          <w:lang w:val="en" w:eastAsia="en-AU"/>
        </w:rPr>
        <w:t>identified</w:t>
      </w:r>
      <w:r w:rsidRPr="00C27067">
        <w:rPr>
          <w:rFonts w:ascii="Arial" w:eastAsia="Times New Roman" w:hAnsi="Arial" w:cs="Arial"/>
          <w:lang w:val="en" w:eastAsia="en-AU"/>
        </w:rPr>
        <w:t xml:space="preserve"> through observations</w:t>
      </w:r>
      <w:r w:rsidR="00550144">
        <w:rPr>
          <w:rFonts w:ascii="Arial" w:eastAsia="Times New Roman" w:hAnsi="Arial" w:cs="Arial"/>
          <w:lang w:val="en" w:eastAsia="en-AU"/>
        </w:rPr>
        <w:t xml:space="preserve"> were </w:t>
      </w:r>
      <w:r w:rsidR="003B38D3">
        <w:rPr>
          <w:rFonts w:ascii="Arial" w:eastAsia="Times New Roman" w:hAnsi="Arial" w:cs="Arial"/>
          <w:lang w:val="en" w:eastAsia="en-AU"/>
        </w:rPr>
        <w:t>e</w:t>
      </w:r>
      <w:r w:rsidR="00550144">
        <w:rPr>
          <w:rFonts w:ascii="Arial" w:eastAsia="Times New Roman" w:hAnsi="Arial" w:cs="Arial"/>
          <w:lang w:val="en" w:eastAsia="en-AU"/>
        </w:rPr>
        <w:t xml:space="preserve">motional and </w:t>
      </w:r>
      <w:r w:rsidR="003B38D3">
        <w:rPr>
          <w:rFonts w:ascii="Arial" w:eastAsia="Times New Roman" w:hAnsi="Arial" w:cs="Arial"/>
          <w:lang w:val="en" w:eastAsia="en-AU"/>
        </w:rPr>
        <w:t>f</w:t>
      </w:r>
      <w:r w:rsidR="00550144">
        <w:rPr>
          <w:rFonts w:ascii="Arial" w:eastAsia="Times New Roman" w:hAnsi="Arial" w:cs="Arial"/>
          <w:lang w:val="en" w:eastAsia="en-AU"/>
        </w:rPr>
        <w:t>inancial.</w:t>
      </w:r>
    </w:p>
    <w:p w14:paraId="7F28F2FD" w14:textId="269CC15A" w:rsidR="00BF1B22" w:rsidRPr="00995589" w:rsidRDefault="006F1C29" w:rsidP="00995589">
      <w:pPr>
        <w:spacing w:before="75" w:after="150" w:line="360" w:lineRule="atLeast"/>
        <w:rPr>
          <w:rFonts w:ascii="Arial" w:eastAsia="Arial Unicode MS" w:hAnsi="Arial" w:cs="Arial"/>
        </w:rPr>
      </w:pPr>
      <w:r w:rsidRPr="00995589">
        <w:rPr>
          <w:rFonts w:ascii="Arial" w:eastAsia="Arial Unicode MS" w:hAnsi="Arial" w:cs="Arial"/>
        </w:rPr>
        <w:t xml:space="preserve">Emotional stress </w:t>
      </w:r>
      <w:r w:rsidR="00995589">
        <w:rPr>
          <w:rFonts w:ascii="Arial" w:eastAsia="Arial Unicode MS" w:hAnsi="Arial" w:cs="Arial"/>
        </w:rPr>
        <w:t xml:space="preserve">was experienced during the EIA process </w:t>
      </w:r>
      <w:r w:rsidR="00BF1B22" w:rsidRPr="00995589">
        <w:rPr>
          <w:rFonts w:ascii="Arial" w:eastAsia="Arial Unicode MS" w:hAnsi="Arial" w:cs="Arial"/>
        </w:rPr>
        <w:t>due to:</w:t>
      </w:r>
    </w:p>
    <w:p w14:paraId="750E70E7" w14:textId="66B25975" w:rsidR="00BF1B22" w:rsidRPr="00C27067" w:rsidRDefault="00BF1B22" w:rsidP="00BF1B22">
      <w:pPr>
        <w:pStyle w:val="ListParagraph"/>
        <w:numPr>
          <w:ilvl w:val="1"/>
          <w:numId w:val="16"/>
        </w:numPr>
        <w:spacing w:before="75" w:after="150" w:line="360" w:lineRule="atLeast"/>
        <w:rPr>
          <w:rFonts w:ascii="Arial" w:eastAsia="Arial Unicode MS" w:hAnsi="Arial" w:cs="Arial"/>
        </w:rPr>
      </w:pPr>
      <w:r w:rsidRPr="00C27067">
        <w:rPr>
          <w:rFonts w:ascii="Arial" w:eastAsia="Arial Unicode MS" w:hAnsi="Arial" w:cs="Arial"/>
        </w:rPr>
        <w:lastRenderedPageBreak/>
        <w:t>Unfamiliarity with the EIA process</w:t>
      </w:r>
      <w:r w:rsidR="00995589">
        <w:rPr>
          <w:rFonts w:ascii="Arial" w:eastAsia="Arial Unicode MS" w:hAnsi="Arial" w:cs="Arial"/>
        </w:rPr>
        <w:t>;</w:t>
      </w:r>
    </w:p>
    <w:p w14:paraId="71841403" w14:textId="62849378" w:rsidR="00BF1B22" w:rsidRPr="00C27067" w:rsidRDefault="00BF1B22" w:rsidP="00BF1B22">
      <w:pPr>
        <w:pStyle w:val="ListParagraph"/>
        <w:numPr>
          <w:ilvl w:val="1"/>
          <w:numId w:val="16"/>
        </w:numPr>
        <w:spacing w:before="75" w:after="150" w:line="360" w:lineRule="atLeast"/>
        <w:rPr>
          <w:rFonts w:ascii="Arial" w:eastAsia="Arial Unicode MS" w:hAnsi="Arial" w:cs="Arial"/>
        </w:rPr>
      </w:pPr>
      <w:r w:rsidRPr="00C27067">
        <w:rPr>
          <w:rFonts w:ascii="Arial" w:eastAsia="Arial Unicode MS" w:hAnsi="Arial" w:cs="Arial"/>
        </w:rPr>
        <w:t>Lack of technical knowledge to participate meaningfully in the project</w:t>
      </w:r>
      <w:r w:rsidR="00995589">
        <w:rPr>
          <w:rFonts w:ascii="Arial" w:eastAsia="Arial Unicode MS" w:hAnsi="Arial" w:cs="Arial"/>
        </w:rPr>
        <w:t>;</w:t>
      </w:r>
    </w:p>
    <w:p w14:paraId="20CD3D8D" w14:textId="2E53F87F" w:rsidR="00BF1B22" w:rsidRPr="00C27067" w:rsidRDefault="00BF1B22" w:rsidP="00BF1B22">
      <w:pPr>
        <w:pStyle w:val="ListParagraph"/>
        <w:numPr>
          <w:ilvl w:val="1"/>
          <w:numId w:val="16"/>
        </w:numPr>
        <w:spacing w:before="75" w:after="150" w:line="360" w:lineRule="atLeast"/>
        <w:rPr>
          <w:rFonts w:ascii="Arial" w:eastAsia="Arial Unicode MS" w:hAnsi="Arial" w:cs="Arial"/>
        </w:rPr>
      </w:pPr>
      <w:r w:rsidRPr="00C27067">
        <w:rPr>
          <w:rFonts w:ascii="Arial" w:eastAsia="Arial Unicode MS" w:hAnsi="Arial" w:cs="Arial"/>
        </w:rPr>
        <w:t>Skepticism on the equity of the process due to the proponent funding technical studies</w:t>
      </w:r>
      <w:r w:rsidR="00995589">
        <w:rPr>
          <w:rFonts w:ascii="Arial" w:eastAsia="Arial Unicode MS" w:hAnsi="Arial" w:cs="Arial"/>
        </w:rPr>
        <w:t>;</w:t>
      </w:r>
    </w:p>
    <w:p w14:paraId="389D0579" w14:textId="6670FDCC" w:rsidR="00BF1B22" w:rsidRPr="00C27067" w:rsidRDefault="00BF1B22" w:rsidP="00BF1B22">
      <w:pPr>
        <w:pStyle w:val="ListParagraph"/>
        <w:numPr>
          <w:ilvl w:val="1"/>
          <w:numId w:val="16"/>
        </w:numPr>
        <w:spacing w:before="75" w:after="150" w:line="360" w:lineRule="atLeast"/>
        <w:rPr>
          <w:rFonts w:ascii="Arial" w:eastAsia="Arial Unicode MS" w:hAnsi="Arial" w:cs="Arial"/>
        </w:rPr>
      </w:pPr>
      <w:r w:rsidRPr="00C27067">
        <w:rPr>
          <w:rFonts w:ascii="Arial" w:eastAsia="Arial Unicode MS" w:hAnsi="Arial" w:cs="Arial"/>
        </w:rPr>
        <w:t>Fear of the impact on current wellbeing and community assets</w:t>
      </w:r>
      <w:r w:rsidR="00995589">
        <w:rPr>
          <w:rFonts w:ascii="Arial" w:eastAsia="Arial Unicode MS" w:hAnsi="Arial" w:cs="Arial"/>
        </w:rPr>
        <w:t>;</w:t>
      </w:r>
    </w:p>
    <w:p w14:paraId="4B22D715" w14:textId="17C556E6" w:rsidR="00BF1B22" w:rsidRPr="00C27067" w:rsidRDefault="00BF1B22" w:rsidP="00BF1B22">
      <w:pPr>
        <w:pStyle w:val="ListParagraph"/>
        <w:numPr>
          <w:ilvl w:val="1"/>
          <w:numId w:val="16"/>
        </w:numPr>
        <w:spacing w:before="75" w:after="150" w:line="360" w:lineRule="atLeast"/>
        <w:rPr>
          <w:rFonts w:ascii="Arial" w:eastAsia="Arial Unicode MS" w:hAnsi="Arial" w:cs="Arial"/>
        </w:rPr>
      </w:pPr>
      <w:r w:rsidRPr="00C27067">
        <w:rPr>
          <w:rFonts w:ascii="Arial" w:eastAsia="Arial Unicode MS" w:hAnsi="Arial" w:cs="Arial"/>
        </w:rPr>
        <w:t xml:space="preserve">Lack of trust in the </w:t>
      </w:r>
      <w:r w:rsidR="00C75AA2" w:rsidRPr="00C27067">
        <w:rPr>
          <w:rFonts w:ascii="Arial" w:eastAsia="Arial Unicode MS" w:hAnsi="Arial" w:cs="Arial"/>
        </w:rPr>
        <w:t>proponent’s</w:t>
      </w:r>
      <w:r w:rsidRPr="00C27067">
        <w:rPr>
          <w:rFonts w:ascii="Arial" w:eastAsia="Arial Unicode MS" w:hAnsi="Arial" w:cs="Arial"/>
        </w:rPr>
        <w:t xml:space="preserve"> unfamiliar project team</w:t>
      </w:r>
      <w:r w:rsidR="00995589">
        <w:rPr>
          <w:rFonts w:ascii="Arial" w:eastAsia="Arial Unicode MS" w:hAnsi="Arial" w:cs="Arial"/>
        </w:rPr>
        <w:t>;</w:t>
      </w:r>
      <w:r w:rsidRPr="00C27067">
        <w:rPr>
          <w:rFonts w:ascii="Arial" w:eastAsia="Arial Unicode MS" w:hAnsi="Arial" w:cs="Arial"/>
        </w:rPr>
        <w:t xml:space="preserve"> </w:t>
      </w:r>
    </w:p>
    <w:p w14:paraId="6AA9B139" w14:textId="02EF67D4" w:rsidR="00BF1B22" w:rsidRPr="00C27067" w:rsidRDefault="00995589" w:rsidP="00BF1B22">
      <w:pPr>
        <w:pStyle w:val="ListParagraph"/>
        <w:numPr>
          <w:ilvl w:val="1"/>
          <w:numId w:val="16"/>
        </w:numPr>
        <w:spacing w:before="75" w:after="150" w:line="360" w:lineRule="atLeas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F</w:t>
      </w:r>
      <w:r w:rsidR="00BF1B22" w:rsidRPr="00C27067">
        <w:rPr>
          <w:rFonts w:ascii="Arial" w:eastAsia="Arial Unicode MS" w:hAnsi="Arial" w:cs="Arial"/>
        </w:rPr>
        <w:t>eeling powerless to provide well-resourced position on technical information due limited access to funds and technical resources of the same caliber as the proponent.</w:t>
      </w:r>
    </w:p>
    <w:p w14:paraId="3552F365" w14:textId="66250535" w:rsidR="00BF1B22" w:rsidRPr="00995589" w:rsidRDefault="00CD2197" w:rsidP="00995589">
      <w:pPr>
        <w:spacing w:before="75" w:after="150" w:line="360" w:lineRule="atLeast"/>
        <w:rPr>
          <w:rFonts w:ascii="Arial" w:eastAsia="Arial Unicode MS" w:hAnsi="Arial" w:cs="Arial"/>
        </w:rPr>
      </w:pPr>
      <w:r w:rsidRPr="00995589">
        <w:rPr>
          <w:rFonts w:ascii="Arial" w:eastAsia="Arial Unicode MS" w:hAnsi="Arial" w:cs="Arial"/>
        </w:rPr>
        <w:t>Financial cost of</w:t>
      </w:r>
      <w:r w:rsidR="00995589">
        <w:rPr>
          <w:rFonts w:ascii="Arial" w:eastAsia="Arial Unicode MS" w:hAnsi="Arial" w:cs="Arial"/>
        </w:rPr>
        <w:t xml:space="preserve"> the EIA process </w:t>
      </w:r>
      <w:r w:rsidR="00853EF2">
        <w:rPr>
          <w:rFonts w:ascii="Arial" w:eastAsia="Arial Unicode MS" w:hAnsi="Arial" w:cs="Arial"/>
        </w:rPr>
        <w:t>was</w:t>
      </w:r>
      <w:r w:rsidR="00995589">
        <w:rPr>
          <w:rFonts w:ascii="Arial" w:eastAsia="Arial Unicode MS" w:hAnsi="Arial" w:cs="Arial"/>
        </w:rPr>
        <w:t xml:space="preserve"> observed by the community due to</w:t>
      </w:r>
      <w:r w:rsidR="00C13709" w:rsidRPr="00995589">
        <w:rPr>
          <w:rFonts w:ascii="Arial" w:eastAsia="Arial Unicode MS" w:hAnsi="Arial" w:cs="Arial"/>
        </w:rPr>
        <w:t>:</w:t>
      </w:r>
      <w:r w:rsidRPr="00995589">
        <w:rPr>
          <w:rFonts w:ascii="Arial" w:eastAsia="Arial Unicode MS" w:hAnsi="Arial" w:cs="Arial"/>
        </w:rPr>
        <w:t xml:space="preserve"> </w:t>
      </w:r>
    </w:p>
    <w:p w14:paraId="67E91632" w14:textId="77777777" w:rsidR="00BF1B22" w:rsidRPr="00C27067" w:rsidRDefault="00CD2197" w:rsidP="00BF1B22">
      <w:pPr>
        <w:pStyle w:val="ListParagraph"/>
        <w:numPr>
          <w:ilvl w:val="1"/>
          <w:numId w:val="16"/>
        </w:numPr>
        <w:spacing w:before="75" w:after="150" w:line="360" w:lineRule="atLeast"/>
        <w:rPr>
          <w:rFonts w:ascii="Arial" w:eastAsia="Arial Unicode MS" w:hAnsi="Arial" w:cs="Arial"/>
        </w:rPr>
      </w:pPr>
      <w:r w:rsidRPr="00C27067">
        <w:rPr>
          <w:rFonts w:ascii="Arial" w:eastAsia="Arial Unicode MS" w:hAnsi="Arial" w:cs="Arial"/>
        </w:rPr>
        <w:t xml:space="preserve">seeking independent </w:t>
      </w:r>
      <w:r w:rsidR="00BF1B22" w:rsidRPr="00C27067">
        <w:rPr>
          <w:rFonts w:ascii="Arial" w:eastAsia="Arial Unicode MS" w:hAnsi="Arial" w:cs="Arial"/>
        </w:rPr>
        <w:t>advice on impacts</w:t>
      </w:r>
    </w:p>
    <w:p w14:paraId="2394798A" w14:textId="1BE8CC62" w:rsidR="00BF1B22" w:rsidRDefault="00BF1B22" w:rsidP="00C13709">
      <w:pPr>
        <w:pStyle w:val="ListParagraph"/>
        <w:numPr>
          <w:ilvl w:val="1"/>
          <w:numId w:val="16"/>
        </w:numPr>
        <w:spacing w:before="75" w:after="150" w:line="360" w:lineRule="atLeast"/>
        <w:rPr>
          <w:rFonts w:ascii="Arial" w:eastAsia="Arial Unicode MS" w:hAnsi="Arial" w:cs="Arial"/>
        </w:rPr>
      </w:pPr>
      <w:r w:rsidRPr="00C27067">
        <w:rPr>
          <w:rFonts w:ascii="Arial" w:eastAsia="Arial Unicode MS" w:hAnsi="Arial" w:cs="Arial"/>
        </w:rPr>
        <w:t>invest</w:t>
      </w:r>
      <w:r w:rsidR="00995589">
        <w:rPr>
          <w:rFonts w:ascii="Arial" w:eastAsia="Arial Unicode MS" w:hAnsi="Arial" w:cs="Arial"/>
        </w:rPr>
        <w:t xml:space="preserve">ing unpaid time to understand the </w:t>
      </w:r>
      <w:r w:rsidRPr="00C27067">
        <w:rPr>
          <w:rFonts w:ascii="Arial" w:eastAsia="Arial Unicode MS" w:hAnsi="Arial" w:cs="Arial"/>
        </w:rPr>
        <w:t>project</w:t>
      </w:r>
      <w:r w:rsidR="002E70E3">
        <w:rPr>
          <w:rFonts w:ascii="Arial" w:eastAsia="Arial Unicode MS" w:hAnsi="Arial" w:cs="Arial"/>
        </w:rPr>
        <w:t>.</w:t>
      </w:r>
    </w:p>
    <w:p w14:paraId="5403F823" w14:textId="7E39CA76" w:rsidR="00C410A7" w:rsidRDefault="00C410A7" w:rsidP="00C13709">
      <w:pPr>
        <w:pStyle w:val="ListParagraph"/>
        <w:numPr>
          <w:ilvl w:val="1"/>
          <w:numId w:val="16"/>
        </w:numPr>
        <w:spacing w:before="75" w:after="150" w:line="360" w:lineRule="atLeas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Council using rate </w:t>
      </w:r>
      <w:r w:rsidR="003B38D3">
        <w:rPr>
          <w:rFonts w:ascii="Arial" w:eastAsia="Arial Unicode MS" w:hAnsi="Arial" w:cs="Arial"/>
        </w:rPr>
        <w:t xml:space="preserve">payer’s </w:t>
      </w:r>
      <w:r>
        <w:rPr>
          <w:rFonts w:ascii="Arial" w:eastAsia="Arial Unicode MS" w:hAnsi="Arial" w:cs="Arial"/>
        </w:rPr>
        <w:t>money to participate in the project.</w:t>
      </w:r>
    </w:p>
    <w:p w14:paraId="4805288A" w14:textId="77F76019" w:rsidR="002E70E3" w:rsidRDefault="002E70E3" w:rsidP="002E70E3">
      <w:pPr>
        <w:spacing w:before="75" w:after="150" w:line="360" w:lineRule="atLeas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It should be acknowledged that positive impacts of the assessment process were also identified including:</w:t>
      </w:r>
    </w:p>
    <w:p w14:paraId="682E90E5" w14:textId="164A6A6A" w:rsidR="002E70E3" w:rsidRDefault="002E70E3" w:rsidP="002E70E3">
      <w:pPr>
        <w:pStyle w:val="ListParagraph"/>
        <w:numPr>
          <w:ilvl w:val="0"/>
          <w:numId w:val="17"/>
        </w:numPr>
        <w:spacing w:before="75" w:after="150" w:line="360" w:lineRule="atLeas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providing the community the opportunity to be heard and participate in the process</w:t>
      </w:r>
    </w:p>
    <w:p w14:paraId="3FE12CF7" w14:textId="664C52A8" w:rsidR="002E70E3" w:rsidRDefault="00C410A7" w:rsidP="002E70E3">
      <w:pPr>
        <w:pStyle w:val="ListParagraph"/>
        <w:numPr>
          <w:ilvl w:val="0"/>
          <w:numId w:val="17"/>
        </w:numPr>
        <w:spacing w:before="75" w:after="150" w:line="360" w:lineRule="atLeas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providing an opportunity to understand technical knowledge and speak with technical experts</w:t>
      </w:r>
    </w:p>
    <w:p w14:paraId="2EB5CAB6" w14:textId="52CE24D0" w:rsidR="00C410A7" w:rsidRPr="00C410A7" w:rsidRDefault="00C410A7" w:rsidP="00C410A7">
      <w:pPr>
        <w:pStyle w:val="ListParagraph"/>
        <w:numPr>
          <w:ilvl w:val="0"/>
          <w:numId w:val="17"/>
        </w:numPr>
        <w:spacing w:before="75" w:after="150" w:line="360" w:lineRule="atLeas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Development of new and strengthen</w:t>
      </w:r>
      <w:r w:rsidR="00F133FD">
        <w:rPr>
          <w:rFonts w:ascii="Arial" w:eastAsia="Arial Unicode MS" w:hAnsi="Arial" w:cs="Arial"/>
        </w:rPr>
        <w:t>ed</w:t>
      </w:r>
      <w:r>
        <w:rPr>
          <w:rFonts w:ascii="Arial" w:eastAsia="Arial Unicode MS" w:hAnsi="Arial" w:cs="Arial"/>
        </w:rPr>
        <w:t xml:space="preserve"> existing community networks through knowledge sharing.</w:t>
      </w:r>
    </w:p>
    <w:p w14:paraId="3D9E2226" w14:textId="7FB4488B" w:rsidR="005E69E5" w:rsidRDefault="005226D6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Should </w:t>
      </w:r>
      <w:r w:rsidR="008E2D8D">
        <w:rPr>
          <w:rFonts w:ascii="Arial Unicode MS" w:eastAsia="Arial Unicode MS" w:hAnsi="Arial Unicode MS" w:cs="Arial Unicode MS"/>
          <w:b/>
          <w:sz w:val="28"/>
          <w:szCs w:val="28"/>
        </w:rPr>
        <w:t>the</w:t>
      </w:r>
      <w:r w:rsidR="005E69E5">
        <w:rPr>
          <w:rFonts w:ascii="Arial Unicode MS" w:eastAsia="Arial Unicode MS" w:hAnsi="Arial Unicode MS" w:cs="Arial Unicode MS"/>
          <w:b/>
          <w:sz w:val="28"/>
          <w:szCs w:val="28"/>
        </w:rPr>
        <w:t xml:space="preserve"> impacts </w:t>
      </w:r>
      <w:r w:rsidR="00C26E5A">
        <w:rPr>
          <w:rFonts w:ascii="Arial Unicode MS" w:eastAsia="Arial Unicode MS" w:hAnsi="Arial Unicode MS" w:cs="Arial Unicode MS"/>
          <w:b/>
          <w:sz w:val="28"/>
          <w:szCs w:val="28"/>
        </w:rPr>
        <w:t xml:space="preserve">of the EIA process </w:t>
      </w:r>
      <w:r w:rsidR="005E69E5">
        <w:rPr>
          <w:rFonts w:ascii="Arial Unicode MS" w:eastAsia="Arial Unicode MS" w:hAnsi="Arial Unicode MS" w:cs="Arial Unicode MS"/>
          <w:b/>
          <w:sz w:val="28"/>
          <w:szCs w:val="28"/>
        </w:rPr>
        <w:t>on communities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be managed and mitigated</w:t>
      </w:r>
      <w:r w:rsidR="00C26E5A">
        <w:rPr>
          <w:rFonts w:ascii="Arial Unicode MS" w:eastAsia="Arial Unicode MS" w:hAnsi="Arial Unicode MS" w:cs="Arial Unicode MS"/>
          <w:b/>
          <w:sz w:val="28"/>
          <w:szCs w:val="28"/>
        </w:rPr>
        <w:t>?</w:t>
      </w:r>
    </w:p>
    <w:p w14:paraId="581B8D14" w14:textId="79312BBD" w:rsidR="00C26E5A" w:rsidRPr="00A96F2C" w:rsidRDefault="00C75AA2" w:rsidP="00C26E5A">
      <w:pPr>
        <w:spacing w:before="75" w:after="150" w:line="360" w:lineRule="atLeast"/>
        <w:rPr>
          <w:rFonts w:ascii="Arial" w:eastAsia="Times New Roman" w:hAnsi="Arial" w:cs="Arial"/>
          <w:i/>
          <w:lang w:val="en" w:eastAsia="en-AU"/>
        </w:rPr>
      </w:pPr>
      <w:r>
        <w:rPr>
          <w:rFonts w:ascii="Arial" w:eastAsia="Times New Roman" w:hAnsi="Arial" w:cs="Arial"/>
          <w:i/>
          <w:lang w:val="en" w:eastAsia="en-AU"/>
        </w:rPr>
        <w:t>Further Research</w:t>
      </w:r>
    </w:p>
    <w:p w14:paraId="48C1B52F" w14:textId="43C720C0" w:rsidR="00BD77D1" w:rsidRDefault="00BD77D1" w:rsidP="00BD77D1">
      <w:pPr>
        <w:spacing w:before="75" w:after="150" w:line="360" w:lineRule="atLeast"/>
        <w:rPr>
          <w:rFonts w:ascii="Arial" w:eastAsia="Times New Roman" w:hAnsi="Arial" w:cs="Arial"/>
          <w:color w:val="000000"/>
          <w:lang w:val="en" w:eastAsia="en-AU"/>
        </w:rPr>
      </w:pPr>
      <w:r>
        <w:rPr>
          <w:rFonts w:ascii="Arial" w:eastAsia="Times New Roman" w:hAnsi="Arial" w:cs="Arial"/>
          <w:color w:val="000000"/>
          <w:lang w:val="en" w:eastAsia="en-AU"/>
        </w:rPr>
        <w:t>To test whether there is a ‘blind spot’ in the social and financial costs of the EIA process, formal research is required</w:t>
      </w:r>
      <w:r w:rsidR="00E43300">
        <w:rPr>
          <w:rFonts w:ascii="Arial" w:eastAsia="Times New Roman" w:hAnsi="Arial" w:cs="Arial"/>
          <w:color w:val="000000"/>
          <w:lang w:val="en" w:eastAsia="en-AU"/>
        </w:rPr>
        <w:t>.</w:t>
      </w:r>
    </w:p>
    <w:p w14:paraId="7D97CADA" w14:textId="77777777" w:rsidR="007237D0" w:rsidRDefault="00BD77D1" w:rsidP="00BD77D1">
      <w:pPr>
        <w:spacing w:before="75" w:after="150" w:line="360" w:lineRule="atLeast"/>
        <w:rPr>
          <w:rFonts w:ascii="Arial" w:eastAsia="Times New Roman" w:hAnsi="Arial" w:cs="Arial"/>
          <w:color w:val="000000"/>
          <w:lang w:val="en" w:eastAsia="en-AU"/>
        </w:rPr>
      </w:pPr>
      <w:r>
        <w:rPr>
          <w:rFonts w:ascii="Arial" w:eastAsia="Times New Roman" w:hAnsi="Arial" w:cs="Arial"/>
          <w:color w:val="000000"/>
          <w:lang w:val="en" w:eastAsia="en-AU"/>
        </w:rPr>
        <w:t>Research could involve</w:t>
      </w:r>
      <w:r w:rsidR="007237D0">
        <w:rPr>
          <w:rFonts w:ascii="Arial" w:eastAsia="Times New Roman" w:hAnsi="Arial" w:cs="Arial"/>
          <w:color w:val="000000"/>
          <w:lang w:val="en" w:eastAsia="en-AU"/>
        </w:rPr>
        <w:t>:</w:t>
      </w:r>
    </w:p>
    <w:p w14:paraId="62FB6088" w14:textId="7CB2D88B" w:rsidR="007237D0" w:rsidRDefault="00BD77D1" w:rsidP="00BD77D1">
      <w:pPr>
        <w:pStyle w:val="ListParagraph"/>
        <w:numPr>
          <w:ilvl w:val="0"/>
          <w:numId w:val="18"/>
        </w:numPr>
        <w:spacing w:before="75" w:after="150" w:line="360" w:lineRule="atLeast"/>
        <w:rPr>
          <w:rFonts w:ascii="Arial" w:eastAsia="Times New Roman" w:hAnsi="Arial" w:cs="Arial"/>
          <w:color w:val="000000"/>
          <w:lang w:val="en" w:eastAsia="en-AU"/>
        </w:rPr>
      </w:pPr>
      <w:r w:rsidRPr="007237D0">
        <w:rPr>
          <w:rFonts w:ascii="Arial" w:eastAsia="Times New Roman" w:hAnsi="Arial" w:cs="Arial"/>
          <w:color w:val="000000"/>
          <w:lang w:val="en" w:eastAsia="en-AU"/>
        </w:rPr>
        <w:t xml:space="preserve">review of international EIA processes and </w:t>
      </w:r>
      <w:r w:rsidR="007237D0">
        <w:rPr>
          <w:rFonts w:ascii="Arial" w:eastAsia="Times New Roman" w:hAnsi="Arial" w:cs="Arial"/>
          <w:color w:val="000000"/>
          <w:lang w:val="en" w:eastAsia="en-AU"/>
        </w:rPr>
        <w:t xml:space="preserve">assessment as to </w:t>
      </w:r>
      <w:r w:rsidRPr="007237D0">
        <w:rPr>
          <w:rFonts w:ascii="Arial" w:eastAsia="Times New Roman" w:hAnsi="Arial" w:cs="Arial"/>
          <w:color w:val="000000"/>
          <w:lang w:val="en" w:eastAsia="en-AU"/>
        </w:rPr>
        <w:t>whether impacts of the assessment process are considered, documented or mitigated</w:t>
      </w:r>
      <w:r w:rsidR="007237D0">
        <w:rPr>
          <w:rFonts w:ascii="Arial" w:eastAsia="Times New Roman" w:hAnsi="Arial" w:cs="Arial"/>
          <w:color w:val="000000"/>
          <w:lang w:val="en" w:eastAsia="en-AU"/>
        </w:rPr>
        <w:t xml:space="preserve"> in other jurisdictions;</w:t>
      </w:r>
      <w:r w:rsidRPr="007237D0">
        <w:rPr>
          <w:rFonts w:ascii="Arial" w:eastAsia="Times New Roman" w:hAnsi="Arial" w:cs="Arial"/>
          <w:color w:val="000000"/>
          <w:lang w:val="en" w:eastAsia="en-AU"/>
        </w:rPr>
        <w:t xml:space="preserve"> </w:t>
      </w:r>
    </w:p>
    <w:p w14:paraId="5965A531" w14:textId="527BB73D" w:rsidR="00BD77D1" w:rsidRDefault="007237D0" w:rsidP="00BD77D1">
      <w:pPr>
        <w:pStyle w:val="ListParagraph"/>
        <w:numPr>
          <w:ilvl w:val="0"/>
          <w:numId w:val="18"/>
        </w:numPr>
        <w:spacing w:before="75" w:after="150" w:line="360" w:lineRule="atLeast"/>
        <w:rPr>
          <w:rFonts w:ascii="Arial" w:eastAsia="Times New Roman" w:hAnsi="Arial" w:cs="Arial"/>
          <w:color w:val="000000"/>
          <w:lang w:val="en" w:eastAsia="en-AU"/>
        </w:rPr>
      </w:pPr>
      <w:r>
        <w:rPr>
          <w:rFonts w:ascii="Arial" w:eastAsia="Times New Roman" w:hAnsi="Arial" w:cs="Arial"/>
          <w:color w:val="000000"/>
          <w:lang w:val="en" w:eastAsia="en-AU"/>
        </w:rPr>
        <w:t xml:space="preserve">gathering available information on </w:t>
      </w:r>
      <w:r w:rsidR="00BD77D1" w:rsidRPr="007237D0">
        <w:rPr>
          <w:rFonts w:ascii="Arial" w:eastAsia="Times New Roman" w:hAnsi="Arial" w:cs="Arial"/>
          <w:color w:val="000000"/>
          <w:lang w:val="en" w:eastAsia="en-AU"/>
        </w:rPr>
        <w:t>impacts experienced by communit</w:t>
      </w:r>
      <w:r>
        <w:rPr>
          <w:rFonts w:ascii="Arial" w:eastAsia="Times New Roman" w:hAnsi="Arial" w:cs="Arial"/>
          <w:color w:val="000000"/>
          <w:lang w:val="en" w:eastAsia="en-AU"/>
        </w:rPr>
        <w:t>ies</w:t>
      </w:r>
      <w:r w:rsidR="00BD77D1" w:rsidRPr="007237D0">
        <w:rPr>
          <w:rFonts w:ascii="Arial" w:eastAsia="Times New Roman" w:hAnsi="Arial" w:cs="Arial"/>
          <w:color w:val="000000"/>
          <w:lang w:val="en" w:eastAsia="en-AU"/>
        </w:rPr>
        <w:t xml:space="preserve"> during </w:t>
      </w:r>
      <w:r w:rsidR="00793E7F">
        <w:rPr>
          <w:rFonts w:ascii="Arial" w:eastAsia="Times New Roman" w:hAnsi="Arial" w:cs="Arial"/>
          <w:color w:val="000000"/>
          <w:lang w:val="en" w:eastAsia="en-AU"/>
        </w:rPr>
        <w:t xml:space="preserve">current </w:t>
      </w:r>
      <w:r w:rsidR="00793E7F" w:rsidRPr="007237D0">
        <w:rPr>
          <w:rFonts w:ascii="Arial" w:eastAsia="Times New Roman" w:hAnsi="Arial" w:cs="Arial"/>
          <w:color w:val="000000"/>
          <w:lang w:val="en" w:eastAsia="en-AU"/>
        </w:rPr>
        <w:t>EIA</w:t>
      </w:r>
      <w:r w:rsidRPr="007237D0">
        <w:rPr>
          <w:rFonts w:ascii="Arial" w:eastAsia="Times New Roman" w:hAnsi="Arial" w:cs="Arial"/>
          <w:color w:val="000000"/>
          <w:lang w:val="en" w:eastAsia="en-AU"/>
        </w:rPr>
        <w:t xml:space="preserve"> </w:t>
      </w:r>
      <w:r w:rsidR="00BD77D1" w:rsidRPr="007237D0">
        <w:rPr>
          <w:rFonts w:ascii="Arial" w:eastAsia="Times New Roman" w:hAnsi="Arial" w:cs="Arial"/>
          <w:color w:val="000000"/>
          <w:lang w:val="en" w:eastAsia="en-AU"/>
        </w:rPr>
        <w:t xml:space="preserve">process </w:t>
      </w:r>
      <w:r>
        <w:rPr>
          <w:rFonts w:ascii="Arial" w:eastAsia="Times New Roman" w:hAnsi="Arial" w:cs="Arial"/>
          <w:color w:val="000000"/>
          <w:lang w:val="en" w:eastAsia="en-AU"/>
        </w:rPr>
        <w:t xml:space="preserve">such as the </w:t>
      </w:r>
      <w:r w:rsidR="00BD77D1" w:rsidRPr="007237D0">
        <w:rPr>
          <w:rFonts w:ascii="Arial" w:eastAsia="Times New Roman" w:hAnsi="Arial" w:cs="Arial"/>
          <w:color w:val="000000"/>
          <w:lang w:val="en" w:eastAsia="en-AU"/>
        </w:rPr>
        <w:t>social impact assessment</w:t>
      </w:r>
      <w:r>
        <w:rPr>
          <w:rFonts w:ascii="Arial" w:eastAsia="Times New Roman" w:hAnsi="Arial" w:cs="Arial"/>
          <w:color w:val="000000"/>
          <w:lang w:val="en" w:eastAsia="en-AU"/>
        </w:rPr>
        <w:t>;</w:t>
      </w:r>
    </w:p>
    <w:p w14:paraId="12A2A53F" w14:textId="0B0251C2" w:rsidR="007237D0" w:rsidRDefault="007237D0" w:rsidP="00BD77D1">
      <w:pPr>
        <w:pStyle w:val="ListParagraph"/>
        <w:numPr>
          <w:ilvl w:val="0"/>
          <w:numId w:val="18"/>
        </w:numPr>
        <w:spacing w:before="75" w:after="150" w:line="360" w:lineRule="atLeast"/>
        <w:rPr>
          <w:rFonts w:ascii="Arial" w:eastAsia="Times New Roman" w:hAnsi="Arial" w:cs="Arial"/>
          <w:color w:val="000000"/>
          <w:lang w:val="en" w:eastAsia="en-AU"/>
        </w:rPr>
      </w:pPr>
      <w:r>
        <w:rPr>
          <w:rFonts w:ascii="Arial" w:eastAsia="Times New Roman" w:hAnsi="Arial" w:cs="Arial"/>
          <w:color w:val="000000"/>
          <w:lang w:val="en" w:eastAsia="en-AU"/>
        </w:rPr>
        <w:lastRenderedPageBreak/>
        <w:t>measuring the extent of impact of the EIA process and testing the hypothesis of whether larger projects result in greater process impacts on communities</w:t>
      </w:r>
      <w:r w:rsidR="000C3A50">
        <w:rPr>
          <w:rFonts w:ascii="Arial" w:eastAsia="Times New Roman" w:hAnsi="Arial" w:cs="Arial"/>
          <w:color w:val="000000"/>
          <w:lang w:val="en" w:eastAsia="en-AU"/>
        </w:rPr>
        <w:t xml:space="preserve"> than smaller projects</w:t>
      </w:r>
      <w:r>
        <w:rPr>
          <w:rFonts w:ascii="Arial" w:eastAsia="Times New Roman" w:hAnsi="Arial" w:cs="Arial"/>
          <w:color w:val="000000"/>
          <w:lang w:val="en" w:eastAsia="en-AU"/>
        </w:rPr>
        <w:t>.</w:t>
      </w:r>
    </w:p>
    <w:p w14:paraId="0F3338FC" w14:textId="333A4FB7" w:rsidR="007237D0" w:rsidRDefault="00E43300" w:rsidP="00BD77D1">
      <w:pPr>
        <w:pStyle w:val="ListParagraph"/>
        <w:numPr>
          <w:ilvl w:val="0"/>
          <w:numId w:val="18"/>
        </w:numPr>
        <w:spacing w:before="75" w:after="150" w:line="360" w:lineRule="atLeast"/>
        <w:rPr>
          <w:rFonts w:ascii="Arial" w:eastAsia="Times New Roman" w:hAnsi="Arial" w:cs="Arial"/>
          <w:color w:val="000000"/>
          <w:lang w:val="en" w:eastAsia="en-AU"/>
        </w:rPr>
      </w:pPr>
      <w:r>
        <w:rPr>
          <w:rFonts w:ascii="Arial" w:eastAsia="Times New Roman" w:hAnsi="Arial" w:cs="Arial"/>
          <w:color w:val="000000"/>
          <w:lang w:val="en" w:eastAsia="en-AU"/>
        </w:rPr>
        <w:t>a</w:t>
      </w:r>
      <w:r w:rsidR="003323E6">
        <w:rPr>
          <w:rFonts w:ascii="Arial" w:eastAsia="Times New Roman" w:hAnsi="Arial" w:cs="Arial"/>
          <w:color w:val="000000"/>
          <w:lang w:val="en" w:eastAsia="en-AU"/>
        </w:rPr>
        <w:t xml:space="preserve">ssessment of </w:t>
      </w:r>
      <w:r w:rsidR="00793E7F">
        <w:rPr>
          <w:rFonts w:ascii="Arial" w:eastAsia="Times New Roman" w:hAnsi="Arial" w:cs="Arial"/>
          <w:color w:val="000000"/>
          <w:lang w:val="en" w:eastAsia="en-AU"/>
        </w:rPr>
        <w:t>whether</w:t>
      </w:r>
      <w:r w:rsidR="003323E6">
        <w:rPr>
          <w:rFonts w:ascii="Arial" w:eastAsia="Times New Roman" w:hAnsi="Arial" w:cs="Arial"/>
          <w:color w:val="000000"/>
          <w:lang w:val="en" w:eastAsia="en-AU"/>
        </w:rPr>
        <w:t xml:space="preserve"> impacts experienced by the community during the EIA process are acceptable, and if they are not acceptable, are they </w:t>
      </w:r>
      <w:r w:rsidR="00AA5D39">
        <w:rPr>
          <w:rFonts w:ascii="Arial" w:eastAsia="Times New Roman" w:hAnsi="Arial" w:cs="Arial"/>
          <w:color w:val="000000"/>
          <w:lang w:val="en" w:eastAsia="en-AU"/>
        </w:rPr>
        <w:t>mitigatable</w:t>
      </w:r>
      <w:r w:rsidR="003323E6">
        <w:rPr>
          <w:rFonts w:ascii="Arial" w:eastAsia="Times New Roman" w:hAnsi="Arial" w:cs="Arial"/>
          <w:color w:val="000000"/>
          <w:lang w:val="en" w:eastAsia="en-AU"/>
        </w:rPr>
        <w:t>?</w:t>
      </w:r>
    </w:p>
    <w:p w14:paraId="5F10FFFD" w14:textId="5049CA14" w:rsidR="000C3A50" w:rsidRPr="007237D0" w:rsidRDefault="000C3A50" w:rsidP="00BD77D1">
      <w:pPr>
        <w:pStyle w:val="ListParagraph"/>
        <w:numPr>
          <w:ilvl w:val="0"/>
          <w:numId w:val="18"/>
        </w:numPr>
        <w:spacing w:before="75" w:after="150" w:line="360" w:lineRule="atLeast"/>
        <w:rPr>
          <w:rFonts w:ascii="Arial" w:eastAsia="Times New Roman" w:hAnsi="Arial" w:cs="Arial"/>
          <w:color w:val="000000"/>
          <w:lang w:val="en" w:eastAsia="en-AU"/>
        </w:rPr>
      </w:pPr>
      <w:r>
        <w:rPr>
          <w:rFonts w:ascii="Arial" w:eastAsia="Times New Roman" w:hAnsi="Arial" w:cs="Arial"/>
          <w:color w:val="000000"/>
          <w:lang w:val="en" w:eastAsia="en-AU"/>
        </w:rPr>
        <w:t>Impacts on the community of not having an assessment process at all</w:t>
      </w:r>
      <w:r w:rsidR="003B38D3">
        <w:rPr>
          <w:rFonts w:ascii="Arial" w:eastAsia="Times New Roman" w:hAnsi="Arial" w:cs="Arial"/>
          <w:color w:val="000000"/>
          <w:lang w:val="en" w:eastAsia="en-AU"/>
        </w:rPr>
        <w:t xml:space="preserve"> and whether the benefits</w:t>
      </w:r>
      <w:bookmarkStart w:id="1" w:name="_GoBack"/>
      <w:bookmarkEnd w:id="1"/>
      <w:r w:rsidR="003B38D3">
        <w:rPr>
          <w:rFonts w:ascii="Arial" w:eastAsia="Times New Roman" w:hAnsi="Arial" w:cs="Arial"/>
          <w:color w:val="000000"/>
          <w:lang w:val="en" w:eastAsia="en-AU"/>
        </w:rPr>
        <w:t xml:space="preserve"> of the process </w:t>
      </w:r>
      <w:r w:rsidR="00853EF2">
        <w:rPr>
          <w:rFonts w:ascii="Arial" w:eastAsia="Times New Roman" w:hAnsi="Arial" w:cs="Arial"/>
          <w:color w:val="000000"/>
          <w:lang w:val="en" w:eastAsia="en-AU"/>
        </w:rPr>
        <w:t>outweigh</w:t>
      </w:r>
      <w:r w:rsidR="003B38D3">
        <w:rPr>
          <w:rFonts w:ascii="Arial" w:eastAsia="Times New Roman" w:hAnsi="Arial" w:cs="Arial"/>
          <w:color w:val="000000"/>
          <w:lang w:val="en" w:eastAsia="en-AU"/>
        </w:rPr>
        <w:t xml:space="preserve"> the cost.</w:t>
      </w:r>
    </w:p>
    <w:p w14:paraId="5868015C" w14:textId="77777777" w:rsidR="00793E7F" w:rsidRDefault="00793E7F">
      <w:pPr>
        <w:rPr>
          <w:rFonts w:ascii="Arial Unicode MS" w:eastAsia="Arial Unicode MS" w:hAnsi="Arial Unicode MS" w:cs="Arial Unicode MS"/>
          <w:b/>
          <w:sz w:val="28"/>
          <w:szCs w:val="28"/>
        </w:rPr>
      </w:pPr>
    </w:p>
    <w:p w14:paraId="0B364F7D" w14:textId="5FFF18D1" w:rsidR="005E69E5" w:rsidRDefault="005E69E5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Conclusion</w:t>
      </w:r>
    </w:p>
    <w:p w14:paraId="6ADA4971" w14:textId="254758A1" w:rsidR="00B46826" w:rsidRPr="0095147C" w:rsidRDefault="00597BED" w:rsidP="00B46826">
      <w:pPr>
        <w:spacing w:before="75" w:after="150" w:line="360" w:lineRule="atLeast"/>
        <w:rPr>
          <w:rFonts w:ascii="Arial" w:eastAsia="Times New Roman" w:hAnsi="Arial" w:cs="Arial"/>
          <w:color w:val="000000"/>
          <w:lang w:val="en" w:eastAsia="en-AU"/>
        </w:rPr>
      </w:pPr>
      <w:r>
        <w:rPr>
          <w:rFonts w:ascii="Arial" w:eastAsia="Times New Roman" w:hAnsi="Arial" w:cs="Arial"/>
          <w:lang w:val="en" w:eastAsia="en-AU"/>
        </w:rPr>
        <w:t xml:space="preserve">This paper has </w:t>
      </w:r>
      <w:r w:rsidR="00E43300">
        <w:rPr>
          <w:rFonts w:ascii="Arial" w:eastAsia="Times New Roman" w:hAnsi="Arial" w:cs="Arial"/>
          <w:lang w:val="en" w:eastAsia="en-AU"/>
        </w:rPr>
        <w:t xml:space="preserve">documented </w:t>
      </w:r>
      <w:r>
        <w:rPr>
          <w:rFonts w:ascii="Arial" w:eastAsia="Times New Roman" w:hAnsi="Arial" w:cs="Arial"/>
          <w:lang w:val="en" w:eastAsia="en-AU"/>
        </w:rPr>
        <w:t xml:space="preserve">some of the </w:t>
      </w:r>
      <w:r w:rsidR="00B46826">
        <w:rPr>
          <w:rFonts w:ascii="Arial" w:eastAsia="Times New Roman" w:hAnsi="Arial" w:cs="Arial"/>
          <w:lang w:val="en" w:eastAsia="en-AU"/>
        </w:rPr>
        <w:t xml:space="preserve">observed </w:t>
      </w:r>
      <w:r>
        <w:rPr>
          <w:rFonts w:ascii="Arial" w:eastAsia="Times New Roman" w:hAnsi="Arial" w:cs="Arial"/>
          <w:lang w:val="en" w:eastAsia="en-AU"/>
        </w:rPr>
        <w:t>impacts experienced by communit</w:t>
      </w:r>
      <w:r w:rsidR="00B46826">
        <w:rPr>
          <w:rFonts w:ascii="Arial" w:eastAsia="Times New Roman" w:hAnsi="Arial" w:cs="Arial"/>
          <w:lang w:val="en" w:eastAsia="en-AU"/>
        </w:rPr>
        <w:t>ies</w:t>
      </w:r>
      <w:r>
        <w:rPr>
          <w:rFonts w:ascii="Arial" w:eastAsia="Times New Roman" w:hAnsi="Arial" w:cs="Arial"/>
          <w:lang w:val="en" w:eastAsia="en-AU"/>
        </w:rPr>
        <w:t xml:space="preserve"> during the EIA process </w:t>
      </w:r>
      <w:r w:rsidR="00B46826">
        <w:rPr>
          <w:rFonts w:ascii="Arial" w:eastAsia="Times New Roman" w:hAnsi="Arial" w:cs="Arial"/>
          <w:lang w:val="en" w:eastAsia="en-AU"/>
        </w:rPr>
        <w:t xml:space="preserve">in Victoria. Community impacts of the EIA process were observed to </w:t>
      </w:r>
      <w:r>
        <w:rPr>
          <w:rFonts w:ascii="Arial" w:eastAsia="Times New Roman" w:hAnsi="Arial" w:cs="Arial"/>
          <w:lang w:val="en" w:eastAsia="en-AU"/>
        </w:rPr>
        <w:t>fall into two main categories, emotional and financial</w:t>
      </w:r>
      <w:r w:rsidR="00E43300">
        <w:rPr>
          <w:rFonts w:ascii="Arial" w:eastAsia="Times New Roman" w:hAnsi="Arial" w:cs="Arial"/>
          <w:lang w:val="en" w:eastAsia="en-AU"/>
        </w:rPr>
        <w:t xml:space="preserve"> impacts</w:t>
      </w:r>
      <w:r>
        <w:rPr>
          <w:rFonts w:ascii="Arial" w:eastAsia="Times New Roman" w:hAnsi="Arial" w:cs="Arial"/>
          <w:lang w:val="en" w:eastAsia="en-AU"/>
        </w:rPr>
        <w:t xml:space="preserve">. </w:t>
      </w:r>
      <w:r w:rsidR="00B46826">
        <w:rPr>
          <w:rFonts w:ascii="Arial" w:eastAsia="Times New Roman" w:hAnsi="Arial" w:cs="Arial"/>
          <w:lang w:val="en" w:eastAsia="en-AU"/>
        </w:rPr>
        <w:t xml:space="preserve">Currently the impacts of the EIA process in Victoria are not formally documented or mitigated. Formal </w:t>
      </w:r>
      <w:r>
        <w:rPr>
          <w:rFonts w:ascii="Arial" w:eastAsia="Times New Roman" w:hAnsi="Arial" w:cs="Arial"/>
          <w:lang w:val="en" w:eastAsia="en-AU"/>
        </w:rPr>
        <w:t xml:space="preserve">research is required to fully understand and quantify the emotional and financial impacts of the EIA process on </w:t>
      </w:r>
      <w:r w:rsidR="00B46826">
        <w:rPr>
          <w:rFonts w:ascii="Arial" w:eastAsia="Times New Roman" w:hAnsi="Arial" w:cs="Arial"/>
          <w:lang w:val="en" w:eastAsia="en-AU"/>
        </w:rPr>
        <w:t xml:space="preserve">impacted </w:t>
      </w:r>
      <w:r>
        <w:rPr>
          <w:rFonts w:ascii="Arial" w:eastAsia="Times New Roman" w:hAnsi="Arial" w:cs="Arial"/>
          <w:lang w:val="en" w:eastAsia="en-AU"/>
        </w:rPr>
        <w:t xml:space="preserve">communities and assess whether </w:t>
      </w:r>
      <w:r w:rsidR="003323E6">
        <w:rPr>
          <w:rFonts w:ascii="Arial" w:eastAsia="Times New Roman" w:hAnsi="Arial" w:cs="Arial"/>
          <w:lang w:val="en" w:eastAsia="en-AU"/>
        </w:rPr>
        <w:t xml:space="preserve">there is a ‘blind spot’ </w:t>
      </w:r>
      <w:r w:rsidR="00E43300">
        <w:rPr>
          <w:rFonts w:ascii="Arial" w:eastAsia="Times New Roman" w:hAnsi="Arial" w:cs="Arial"/>
          <w:lang w:val="en" w:eastAsia="en-AU"/>
        </w:rPr>
        <w:t>in the EIA process</w:t>
      </w:r>
      <w:r w:rsidR="00B46826">
        <w:rPr>
          <w:rFonts w:ascii="Arial" w:eastAsia="Times New Roman" w:hAnsi="Arial" w:cs="Arial"/>
          <w:lang w:val="en" w:eastAsia="en-AU"/>
        </w:rPr>
        <w:t xml:space="preserve">. Until we fully understand the impacts of the EIA process practitioner cannot </w:t>
      </w:r>
      <w:r w:rsidR="0007299E">
        <w:rPr>
          <w:rFonts w:ascii="Arial" w:eastAsia="Times New Roman" w:hAnsi="Arial" w:cs="Arial"/>
          <w:lang w:val="en" w:eastAsia="en-AU"/>
        </w:rPr>
        <w:t xml:space="preserve">fully appreciate whether a ‘blind spot’ in the process exists and determine whether </w:t>
      </w:r>
      <w:r w:rsidR="00B46826">
        <w:rPr>
          <w:rFonts w:ascii="Arial" w:eastAsia="Times New Roman" w:hAnsi="Arial" w:cs="Arial"/>
          <w:color w:val="000000"/>
          <w:lang w:val="en" w:eastAsia="en-AU"/>
        </w:rPr>
        <w:t xml:space="preserve">the EIA process </w:t>
      </w:r>
      <w:r w:rsidR="0007299E">
        <w:rPr>
          <w:rFonts w:ascii="Arial" w:eastAsia="Times New Roman" w:hAnsi="Arial" w:cs="Arial"/>
          <w:color w:val="000000"/>
          <w:lang w:val="en" w:eastAsia="en-AU"/>
        </w:rPr>
        <w:t xml:space="preserve">needs to evolve </w:t>
      </w:r>
      <w:r w:rsidR="00B46826">
        <w:rPr>
          <w:rFonts w:ascii="Arial" w:eastAsia="Times New Roman" w:hAnsi="Arial" w:cs="Arial"/>
          <w:color w:val="000000"/>
          <w:lang w:val="en" w:eastAsia="en-AU"/>
        </w:rPr>
        <w:t>to a more socially responsible process to mitigate or manage community impacts alongside project impacts.</w:t>
      </w:r>
    </w:p>
    <w:p w14:paraId="14CBA5E3" w14:textId="3FAB2E6D" w:rsidR="00597BED" w:rsidRPr="00597BED" w:rsidRDefault="00E43300" w:rsidP="00982239">
      <w:pPr>
        <w:spacing w:before="75" w:after="150" w:line="360" w:lineRule="atLeast"/>
        <w:rPr>
          <w:rFonts w:ascii="Arial" w:eastAsia="Times New Roman" w:hAnsi="Arial" w:cs="Arial"/>
          <w:lang w:val="en" w:eastAsia="en-AU"/>
        </w:rPr>
      </w:pPr>
      <w:r>
        <w:rPr>
          <w:rFonts w:ascii="Arial" w:eastAsia="Times New Roman" w:hAnsi="Arial" w:cs="Arial"/>
          <w:lang w:val="en" w:eastAsia="en-AU"/>
        </w:rPr>
        <w:t xml:space="preserve"> </w:t>
      </w:r>
    </w:p>
    <w:p w14:paraId="53CA4D43" w14:textId="1F65B891" w:rsidR="005E69E5" w:rsidRDefault="005E69E5">
      <w:pPr>
        <w:rPr>
          <w:rFonts w:ascii="Arial Unicode MS" w:eastAsia="Arial Unicode MS" w:hAnsi="Arial Unicode MS" w:cs="Arial Unicode MS"/>
          <w:b/>
          <w:sz w:val="28"/>
          <w:szCs w:val="28"/>
        </w:rPr>
      </w:pPr>
    </w:p>
    <w:p w14:paraId="1C666074" w14:textId="77777777" w:rsidR="0084158C" w:rsidRPr="005E69E5" w:rsidRDefault="0084158C">
      <w:pPr>
        <w:rPr>
          <w:rFonts w:ascii="Arial Unicode MS" w:eastAsia="Arial Unicode MS" w:hAnsi="Arial Unicode MS" w:cs="Arial Unicode MS"/>
          <w:b/>
          <w:sz w:val="28"/>
          <w:szCs w:val="28"/>
        </w:rPr>
      </w:pPr>
    </w:p>
    <w:sectPr w:rsidR="0084158C" w:rsidRPr="005E69E5" w:rsidSect="0031768B">
      <w:footerReference w:type="default" r:id="rId8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272B9" w14:textId="77777777" w:rsidR="005D0122" w:rsidRDefault="005D0122" w:rsidP="00F97DA1">
      <w:pPr>
        <w:spacing w:after="0" w:line="240" w:lineRule="auto"/>
      </w:pPr>
      <w:r>
        <w:separator/>
      </w:r>
    </w:p>
  </w:endnote>
  <w:endnote w:type="continuationSeparator" w:id="0">
    <w:p w14:paraId="711C4199" w14:textId="77777777" w:rsidR="005D0122" w:rsidRDefault="005D0122" w:rsidP="00F9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5890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BB9587" w14:textId="720BF90A" w:rsidR="00F113F6" w:rsidRDefault="00F113F6">
        <w:pPr>
          <w:pStyle w:val="Footer"/>
        </w:pPr>
        <w:r>
          <w:rPr>
            <w:noProof/>
          </w:rPr>
          <w:tab/>
          <w:t>Sessional Proposal ID 133_Reifschneider</w:t>
        </w:r>
      </w:p>
    </w:sdtContent>
  </w:sdt>
  <w:p w14:paraId="0B1A1A03" w14:textId="77777777" w:rsidR="00F113F6" w:rsidRDefault="00F11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2C2AD" w14:textId="77777777" w:rsidR="005D0122" w:rsidRDefault="005D0122" w:rsidP="00F97DA1">
      <w:pPr>
        <w:spacing w:after="0" w:line="240" w:lineRule="auto"/>
      </w:pPr>
      <w:r>
        <w:separator/>
      </w:r>
    </w:p>
  </w:footnote>
  <w:footnote w:type="continuationSeparator" w:id="0">
    <w:p w14:paraId="5DC08404" w14:textId="77777777" w:rsidR="005D0122" w:rsidRDefault="005D0122" w:rsidP="00F97DA1">
      <w:pPr>
        <w:spacing w:after="0" w:line="240" w:lineRule="auto"/>
      </w:pPr>
      <w:r>
        <w:continuationSeparator/>
      </w:r>
    </w:p>
  </w:footnote>
  <w:footnote w:id="1">
    <w:p w14:paraId="7E2C89DA" w14:textId="7EF8BB89" w:rsidR="00F113F6" w:rsidRDefault="00F113F6">
      <w:pPr>
        <w:pStyle w:val="FootnoteText"/>
      </w:pPr>
      <w:r>
        <w:rPr>
          <w:rStyle w:val="FootnoteReference"/>
        </w:rPr>
        <w:footnoteRef/>
      </w:r>
      <w:r>
        <w:t xml:space="preserve"> Browse EES Projects - </w:t>
      </w:r>
      <w:r w:rsidRPr="00BA3075">
        <w:t>https://www.planning.vic.gov.au/environment-assessment/browse-projects</w:t>
      </w:r>
    </w:p>
  </w:footnote>
  <w:footnote w:id="2">
    <w:p w14:paraId="5C590A7E" w14:textId="7B55D68B" w:rsidR="00D64214" w:rsidRDefault="00D6421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3789F">
          <w:rPr>
            <w:rStyle w:val="Hyperlink"/>
          </w:rPr>
          <w:t>https://www.planning.vic.gov.au/</w:t>
        </w:r>
      </w:hyperlink>
      <w:r>
        <w:t xml:space="preserve"> environment-assessment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2D5ED6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2D26E4"/>
    <w:multiLevelType w:val="hybridMultilevel"/>
    <w:tmpl w:val="75CED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FA7369"/>
    <w:multiLevelType w:val="hybridMultilevel"/>
    <w:tmpl w:val="8DB604C0"/>
    <w:lvl w:ilvl="0" w:tplc="040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" w15:restartNumberingAfterBreak="0">
    <w:nsid w:val="132B06FC"/>
    <w:multiLevelType w:val="hybridMultilevel"/>
    <w:tmpl w:val="29B09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D0EAF"/>
    <w:multiLevelType w:val="hybridMultilevel"/>
    <w:tmpl w:val="1EE0C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B69EE"/>
    <w:multiLevelType w:val="hybridMultilevel"/>
    <w:tmpl w:val="16A2A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27097"/>
    <w:multiLevelType w:val="hybridMultilevel"/>
    <w:tmpl w:val="4A4A8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87E91"/>
    <w:multiLevelType w:val="hybridMultilevel"/>
    <w:tmpl w:val="CA46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E7627"/>
    <w:multiLevelType w:val="hybridMultilevel"/>
    <w:tmpl w:val="19C28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E3E9D"/>
    <w:multiLevelType w:val="hybridMultilevel"/>
    <w:tmpl w:val="A664D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D2513"/>
    <w:multiLevelType w:val="hybridMultilevel"/>
    <w:tmpl w:val="23C47AD6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 w15:restartNumberingAfterBreak="0">
    <w:nsid w:val="51D7762F"/>
    <w:multiLevelType w:val="hybridMultilevel"/>
    <w:tmpl w:val="85848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B5BA1"/>
    <w:multiLevelType w:val="hybridMultilevel"/>
    <w:tmpl w:val="11928126"/>
    <w:lvl w:ilvl="0" w:tplc="040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3" w15:restartNumberingAfterBreak="0">
    <w:nsid w:val="5D781DB2"/>
    <w:multiLevelType w:val="hybridMultilevel"/>
    <w:tmpl w:val="EB76C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A2055"/>
    <w:multiLevelType w:val="hybridMultilevel"/>
    <w:tmpl w:val="1F24E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E735E"/>
    <w:multiLevelType w:val="hybridMultilevel"/>
    <w:tmpl w:val="103AF81C"/>
    <w:lvl w:ilvl="0" w:tplc="D87A7C32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A219F"/>
    <w:multiLevelType w:val="hybridMultilevel"/>
    <w:tmpl w:val="3154D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F1A7A"/>
    <w:multiLevelType w:val="hybridMultilevel"/>
    <w:tmpl w:val="D25E0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17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  <w:num w:numId="11">
    <w:abstractNumId w:val="14"/>
  </w:num>
  <w:num w:numId="12">
    <w:abstractNumId w:val="1"/>
  </w:num>
  <w:num w:numId="13">
    <w:abstractNumId w:val="16"/>
  </w:num>
  <w:num w:numId="14">
    <w:abstractNumId w:val="4"/>
  </w:num>
  <w:num w:numId="15">
    <w:abstractNumId w:val="7"/>
  </w:num>
  <w:num w:numId="16">
    <w:abstractNumId w:val="15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187"/>
    <w:rsid w:val="000064A3"/>
    <w:rsid w:val="00032493"/>
    <w:rsid w:val="00045F8C"/>
    <w:rsid w:val="0006069B"/>
    <w:rsid w:val="0007299E"/>
    <w:rsid w:val="000A06CF"/>
    <w:rsid w:val="000B65F1"/>
    <w:rsid w:val="000C3A50"/>
    <w:rsid w:val="000E174C"/>
    <w:rsid w:val="00101892"/>
    <w:rsid w:val="00102C3F"/>
    <w:rsid w:val="00125723"/>
    <w:rsid w:val="00154D1B"/>
    <w:rsid w:val="0017174A"/>
    <w:rsid w:val="001C4CBE"/>
    <w:rsid w:val="001F773A"/>
    <w:rsid w:val="00231210"/>
    <w:rsid w:val="002625DD"/>
    <w:rsid w:val="002A10A9"/>
    <w:rsid w:val="002C4102"/>
    <w:rsid w:val="002D145C"/>
    <w:rsid w:val="002E70E3"/>
    <w:rsid w:val="00313689"/>
    <w:rsid w:val="00316187"/>
    <w:rsid w:val="00316365"/>
    <w:rsid w:val="0031768B"/>
    <w:rsid w:val="003323E6"/>
    <w:rsid w:val="00344FC3"/>
    <w:rsid w:val="00390553"/>
    <w:rsid w:val="003B38D3"/>
    <w:rsid w:val="003C35A6"/>
    <w:rsid w:val="003E4995"/>
    <w:rsid w:val="00415A09"/>
    <w:rsid w:val="00420897"/>
    <w:rsid w:val="00427DB9"/>
    <w:rsid w:val="005111A6"/>
    <w:rsid w:val="005226D6"/>
    <w:rsid w:val="0053344E"/>
    <w:rsid w:val="00544826"/>
    <w:rsid w:val="00550144"/>
    <w:rsid w:val="0057052E"/>
    <w:rsid w:val="005729F0"/>
    <w:rsid w:val="00597BED"/>
    <w:rsid w:val="005A6D29"/>
    <w:rsid w:val="005D0122"/>
    <w:rsid w:val="005E2593"/>
    <w:rsid w:val="005E69E5"/>
    <w:rsid w:val="006012E7"/>
    <w:rsid w:val="006062DB"/>
    <w:rsid w:val="00625897"/>
    <w:rsid w:val="006365B0"/>
    <w:rsid w:val="00642305"/>
    <w:rsid w:val="0064370C"/>
    <w:rsid w:val="00665766"/>
    <w:rsid w:val="006778AC"/>
    <w:rsid w:val="00695E50"/>
    <w:rsid w:val="006A70B5"/>
    <w:rsid w:val="006B5642"/>
    <w:rsid w:val="006C2E7B"/>
    <w:rsid w:val="006D5CDF"/>
    <w:rsid w:val="006E4750"/>
    <w:rsid w:val="006F1A67"/>
    <w:rsid w:val="006F1C29"/>
    <w:rsid w:val="006F615B"/>
    <w:rsid w:val="007002F7"/>
    <w:rsid w:val="007237D0"/>
    <w:rsid w:val="00734EBA"/>
    <w:rsid w:val="00764014"/>
    <w:rsid w:val="0078438B"/>
    <w:rsid w:val="00793E7F"/>
    <w:rsid w:val="007C4BCC"/>
    <w:rsid w:val="007E7C9C"/>
    <w:rsid w:val="007F7DD2"/>
    <w:rsid w:val="00805C64"/>
    <w:rsid w:val="00827892"/>
    <w:rsid w:val="0084158C"/>
    <w:rsid w:val="00853EF2"/>
    <w:rsid w:val="008569C4"/>
    <w:rsid w:val="008851E7"/>
    <w:rsid w:val="00894A80"/>
    <w:rsid w:val="008A727C"/>
    <w:rsid w:val="008B244D"/>
    <w:rsid w:val="008D260D"/>
    <w:rsid w:val="008E2D8D"/>
    <w:rsid w:val="008F459E"/>
    <w:rsid w:val="009114C4"/>
    <w:rsid w:val="0094287F"/>
    <w:rsid w:val="0095147C"/>
    <w:rsid w:val="00955C93"/>
    <w:rsid w:val="00982239"/>
    <w:rsid w:val="009931CB"/>
    <w:rsid w:val="00995589"/>
    <w:rsid w:val="009B678C"/>
    <w:rsid w:val="00A3486C"/>
    <w:rsid w:val="00A60772"/>
    <w:rsid w:val="00A96F2C"/>
    <w:rsid w:val="00AA5D39"/>
    <w:rsid w:val="00AC1810"/>
    <w:rsid w:val="00AC74A1"/>
    <w:rsid w:val="00B06E45"/>
    <w:rsid w:val="00B40974"/>
    <w:rsid w:val="00B46826"/>
    <w:rsid w:val="00B73A5F"/>
    <w:rsid w:val="00B92696"/>
    <w:rsid w:val="00BA3075"/>
    <w:rsid w:val="00BC2A71"/>
    <w:rsid w:val="00BD77D1"/>
    <w:rsid w:val="00BF1B22"/>
    <w:rsid w:val="00C07F04"/>
    <w:rsid w:val="00C12238"/>
    <w:rsid w:val="00C13709"/>
    <w:rsid w:val="00C26E5A"/>
    <w:rsid w:val="00C27067"/>
    <w:rsid w:val="00C33346"/>
    <w:rsid w:val="00C410A7"/>
    <w:rsid w:val="00C74736"/>
    <w:rsid w:val="00C75AA2"/>
    <w:rsid w:val="00C97555"/>
    <w:rsid w:val="00CD2197"/>
    <w:rsid w:val="00D2269C"/>
    <w:rsid w:val="00D47303"/>
    <w:rsid w:val="00D64214"/>
    <w:rsid w:val="00D73B01"/>
    <w:rsid w:val="00D95B8E"/>
    <w:rsid w:val="00DA2789"/>
    <w:rsid w:val="00DA3738"/>
    <w:rsid w:val="00DD5900"/>
    <w:rsid w:val="00E36269"/>
    <w:rsid w:val="00E43300"/>
    <w:rsid w:val="00E45FEB"/>
    <w:rsid w:val="00E52195"/>
    <w:rsid w:val="00E64856"/>
    <w:rsid w:val="00E67B58"/>
    <w:rsid w:val="00EA32DF"/>
    <w:rsid w:val="00EA44F2"/>
    <w:rsid w:val="00EE3D50"/>
    <w:rsid w:val="00F113F6"/>
    <w:rsid w:val="00F133FD"/>
    <w:rsid w:val="00F264FD"/>
    <w:rsid w:val="00F31087"/>
    <w:rsid w:val="00F50C57"/>
    <w:rsid w:val="00F77C85"/>
    <w:rsid w:val="00F97DA1"/>
    <w:rsid w:val="00FA3E19"/>
    <w:rsid w:val="00FB44DE"/>
    <w:rsid w:val="00FD1D24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7273F"/>
  <w15:chartTrackingRefBased/>
  <w15:docId w15:val="{476D76BC-1E08-4A0E-9D55-C76B5B71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DA1"/>
  </w:style>
  <w:style w:type="paragraph" w:styleId="Footer">
    <w:name w:val="footer"/>
    <w:basedOn w:val="Normal"/>
    <w:link w:val="FooterChar"/>
    <w:uiPriority w:val="99"/>
    <w:unhideWhenUsed/>
    <w:rsid w:val="00F97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DA1"/>
  </w:style>
  <w:style w:type="paragraph" w:styleId="ListParagraph">
    <w:name w:val="List Paragraph"/>
    <w:basedOn w:val="Normal"/>
    <w:uiPriority w:val="34"/>
    <w:qFormat/>
    <w:rsid w:val="005E2593"/>
    <w:pPr>
      <w:ind w:left="720"/>
      <w:contextualSpacing/>
    </w:pPr>
  </w:style>
  <w:style w:type="paragraph" w:styleId="ListBullet2">
    <w:name w:val="List Bullet 2"/>
    <w:basedOn w:val="Normal"/>
    <w:uiPriority w:val="99"/>
    <w:unhideWhenUsed/>
    <w:rsid w:val="005E2593"/>
    <w:pPr>
      <w:numPr>
        <w:numId w:val="2"/>
      </w:numPr>
      <w:contextualSpacing/>
    </w:pPr>
    <w:rPr>
      <w:lang w:val="en-AU"/>
    </w:rPr>
  </w:style>
  <w:style w:type="table" w:styleId="TableGrid">
    <w:name w:val="Table Grid"/>
    <w:basedOn w:val="TableNormal"/>
    <w:uiPriority w:val="39"/>
    <w:rsid w:val="00E36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0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7F0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4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40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40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0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01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34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34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344E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39055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6421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6421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6421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64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lanning.vic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059E1-03DD-4751-931C-C31082174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Reifschneider, Natasha</dc:creator>
  <cp:keywords/>
  <dc:description/>
  <cp:lastModifiedBy>Reifschneider, Natasha</cp:lastModifiedBy>
  <cp:revision>7</cp:revision>
  <dcterms:created xsi:type="dcterms:W3CDTF">2019-04-23T10:11:00Z</dcterms:created>
  <dcterms:modified xsi:type="dcterms:W3CDTF">2019-04-23T11:00:00Z</dcterms:modified>
</cp:coreProperties>
</file>