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510" w:rsidRPr="00866361" w:rsidRDefault="00970510" w:rsidP="00DD5EA6">
      <w:pPr>
        <w:spacing w:line="240" w:lineRule="auto"/>
        <w:rPr>
          <w:rFonts w:ascii="Arial" w:hAnsi="Arial" w:cs="Arial"/>
          <w:i/>
          <w:sz w:val="24"/>
          <w:szCs w:val="24"/>
        </w:rPr>
      </w:pPr>
      <w:r w:rsidRPr="000A7E66">
        <w:rPr>
          <w:rFonts w:ascii="Arial" w:hAnsi="Arial" w:cs="Arial"/>
          <w:sz w:val="24"/>
          <w:szCs w:val="24"/>
        </w:rPr>
        <w:t xml:space="preserve">ID65: </w:t>
      </w:r>
      <w:r w:rsidRPr="00866361">
        <w:rPr>
          <w:rFonts w:ascii="Arial" w:hAnsi="Arial" w:cs="Arial"/>
          <w:i/>
          <w:sz w:val="24"/>
          <w:szCs w:val="24"/>
        </w:rPr>
        <w:t>Social and Environmental Impacts of Marine Renewable Energy</w:t>
      </w:r>
    </w:p>
    <w:p w:rsidR="00970510" w:rsidRDefault="00970510" w:rsidP="00DD5EA6">
      <w:pPr>
        <w:pBdr>
          <w:bottom w:val="single" w:sz="6" w:space="1" w:color="auto"/>
        </w:pBdr>
        <w:spacing w:line="240" w:lineRule="auto"/>
        <w:rPr>
          <w:rFonts w:ascii="Arial" w:hAnsi="Arial" w:cs="Arial"/>
          <w:sz w:val="24"/>
          <w:szCs w:val="24"/>
        </w:rPr>
      </w:pPr>
      <w:r>
        <w:rPr>
          <w:rFonts w:ascii="Arial" w:hAnsi="Arial" w:cs="Arial"/>
          <w:sz w:val="24"/>
          <w:szCs w:val="24"/>
        </w:rPr>
        <w:t xml:space="preserve">Glasson, </w:t>
      </w:r>
      <w:r w:rsidR="00735449">
        <w:rPr>
          <w:rFonts w:ascii="Arial" w:hAnsi="Arial" w:cs="Arial"/>
          <w:sz w:val="24"/>
          <w:szCs w:val="24"/>
        </w:rPr>
        <w:t xml:space="preserve">Durning, Welch, Olorundami and Carnie, </w:t>
      </w:r>
      <w:r>
        <w:rPr>
          <w:rFonts w:ascii="Arial" w:hAnsi="Arial" w:cs="Arial"/>
          <w:sz w:val="24"/>
          <w:szCs w:val="24"/>
        </w:rPr>
        <w:t>Impacts Assessment Unit (IAU), Oxford Brookes University</w:t>
      </w:r>
      <w:r w:rsidR="00EC0EEA">
        <w:rPr>
          <w:rFonts w:ascii="Arial" w:hAnsi="Arial" w:cs="Arial"/>
          <w:sz w:val="24"/>
          <w:szCs w:val="24"/>
        </w:rPr>
        <w:t>, UK</w:t>
      </w:r>
    </w:p>
    <w:p w:rsidR="00A8580A" w:rsidRDefault="00970510" w:rsidP="00DD5EA6">
      <w:pPr>
        <w:spacing w:line="240" w:lineRule="auto"/>
        <w:rPr>
          <w:rFonts w:ascii="Arial" w:hAnsi="Arial" w:cs="Arial"/>
          <w:b/>
          <w:i/>
          <w:sz w:val="28"/>
          <w:szCs w:val="28"/>
        </w:rPr>
      </w:pPr>
      <w:r w:rsidRPr="00922B92">
        <w:rPr>
          <w:rFonts w:ascii="Arial" w:hAnsi="Arial" w:cs="Arial"/>
          <w:b/>
          <w:i/>
          <w:sz w:val="28"/>
          <w:szCs w:val="28"/>
        </w:rPr>
        <w:t xml:space="preserve">Socio-economic </w:t>
      </w:r>
      <w:proofErr w:type="gramStart"/>
      <w:r w:rsidRPr="00922B92">
        <w:rPr>
          <w:rFonts w:ascii="Arial" w:hAnsi="Arial" w:cs="Arial"/>
          <w:b/>
          <w:i/>
          <w:sz w:val="28"/>
          <w:szCs w:val="28"/>
        </w:rPr>
        <w:t>impacts</w:t>
      </w:r>
      <w:proofErr w:type="gramEnd"/>
      <w:r w:rsidRPr="00922B92">
        <w:rPr>
          <w:rFonts w:ascii="Arial" w:hAnsi="Arial" w:cs="Arial"/>
          <w:b/>
          <w:i/>
          <w:sz w:val="28"/>
          <w:szCs w:val="28"/>
        </w:rPr>
        <w:t xml:space="preserve"> of </w:t>
      </w:r>
      <w:r w:rsidR="004A02C5" w:rsidRPr="00922B92">
        <w:rPr>
          <w:rFonts w:ascii="Arial" w:hAnsi="Arial" w:cs="Arial"/>
          <w:b/>
          <w:i/>
          <w:sz w:val="28"/>
          <w:szCs w:val="28"/>
        </w:rPr>
        <w:t>OWFs (</w:t>
      </w:r>
      <w:r w:rsidRPr="00922B92">
        <w:rPr>
          <w:rFonts w:ascii="Arial" w:hAnsi="Arial" w:cs="Arial"/>
          <w:b/>
          <w:i/>
          <w:sz w:val="28"/>
          <w:szCs w:val="28"/>
        </w:rPr>
        <w:t>Offshore Wind Farm</w:t>
      </w:r>
      <w:r w:rsidR="004A02C5" w:rsidRPr="00922B92">
        <w:rPr>
          <w:rFonts w:ascii="Arial" w:hAnsi="Arial" w:cs="Arial"/>
          <w:b/>
          <w:i/>
          <w:sz w:val="28"/>
          <w:szCs w:val="28"/>
        </w:rPr>
        <w:t>)</w:t>
      </w:r>
      <w:r w:rsidRPr="00922B92">
        <w:rPr>
          <w:rFonts w:ascii="Arial" w:hAnsi="Arial" w:cs="Arial"/>
          <w:b/>
          <w:i/>
          <w:sz w:val="28"/>
          <w:szCs w:val="28"/>
        </w:rPr>
        <w:t xml:space="preserve"> projects </w:t>
      </w:r>
    </w:p>
    <w:p w:rsidR="00DD5EA6" w:rsidRPr="00DD5EA6" w:rsidRDefault="00922B92" w:rsidP="00DD5EA6">
      <w:pPr>
        <w:spacing w:line="240" w:lineRule="auto"/>
        <w:rPr>
          <w:rFonts w:ascii="Arial" w:hAnsi="Arial" w:cs="Arial"/>
          <w:b/>
          <w:sz w:val="16"/>
          <w:szCs w:val="16"/>
        </w:rPr>
      </w:pPr>
      <w:r>
        <w:rPr>
          <w:rFonts w:ascii="Arial" w:hAnsi="Arial" w:cs="Arial"/>
          <w:b/>
          <w:sz w:val="16"/>
          <w:szCs w:val="16"/>
        </w:rPr>
        <w:t>--------------------------------------------------------------------------------------------------------------------------------------------------------------------------------------</w:t>
      </w:r>
    </w:p>
    <w:p w:rsidR="00C212D4" w:rsidRDefault="00C212D4" w:rsidP="00DD5EA6">
      <w:pPr>
        <w:spacing w:line="240" w:lineRule="auto"/>
        <w:rPr>
          <w:rFonts w:ascii="Arial" w:hAnsi="Arial" w:cs="Arial"/>
          <w:b/>
          <w:sz w:val="24"/>
          <w:szCs w:val="24"/>
        </w:rPr>
      </w:pPr>
      <w:r w:rsidRPr="00C212D4">
        <w:rPr>
          <w:rFonts w:ascii="Arial" w:hAnsi="Arial" w:cs="Arial"/>
          <w:b/>
          <w:sz w:val="24"/>
          <w:szCs w:val="24"/>
        </w:rPr>
        <w:t xml:space="preserve">EU </w:t>
      </w:r>
      <w:r w:rsidR="00922B92">
        <w:rPr>
          <w:rFonts w:ascii="Arial" w:hAnsi="Arial" w:cs="Arial"/>
          <w:b/>
          <w:sz w:val="24"/>
          <w:szCs w:val="24"/>
        </w:rPr>
        <w:t>m</w:t>
      </w:r>
      <w:r w:rsidRPr="00C212D4">
        <w:rPr>
          <w:rFonts w:ascii="Arial" w:hAnsi="Arial" w:cs="Arial"/>
          <w:b/>
          <w:sz w:val="24"/>
          <w:szCs w:val="24"/>
        </w:rPr>
        <w:t xml:space="preserve">arine </w:t>
      </w:r>
      <w:r w:rsidR="00922B92">
        <w:rPr>
          <w:rFonts w:ascii="Arial" w:hAnsi="Arial" w:cs="Arial"/>
          <w:b/>
          <w:sz w:val="24"/>
          <w:szCs w:val="24"/>
        </w:rPr>
        <w:t>r</w:t>
      </w:r>
      <w:r w:rsidRPr="00C212D4">
        <w:rPr>
          <w:rFonts w:ascii="Arial" w:hAnsi="Arial" w:cs="Arial"/>
          <w:b/>
          <w:sz w:val="24"/>
          <w:szCs w:val="24"/>
        </w:rPr>
        <w:t xml:space="preserve">enewable </w:t>
      </w:r>
      <w:r w:rsidR="00922B92">
        <w:rPr>
          <w:rFonts w:ascii="Arial" w:hAnsi="Arial" w:cs="Arial"/>
          <w:b/>
          <w:sz w:val="24"/>
          <w:szCs w:val="24"/>
        </w:rPr>
        <w:t>e</w:t>
      </w:r>
      <w:r w:rsidRPr="00C212D4">
        <w:rPr>
          <w:rFonts w:ascii="Arial" w:hAnsi="Arial" w:cs="Arial"/>
          <w:b/>
          <w:sz w:val="24"/>
          <w:szCs w:val="24"/>
        </w:rPr>
        <w:t xml:space="preserve">nergy </w:t>
      </w:r>
      <w:r w:rsidR="00922B92">
        <w:rPr>
          <w:rFonts w:ascii="Arial" w:hAnsi="Arial" w:cs="Arial"/>
          <w:b/>
          <w:sz w:val="24"/>
          <w:szCs w:val="24"/>
        </w:rPr>
        <w:t>c</w:t>
      </w:r>
      <w:r w:rsidRPr="00C212D4">
        <w:rPr>
          <w:rFonts w:ascii="Arial" w:hAnsi="Arial" w:cs="Arial"/>
          <w:b/>
          <w:sz w:val="24"/>
          <w:szCs w:val="24"/>
        </w:rPr>
        <w:t>ontext</w:t>
      </w:r>
    </w:p>
    <w:p w:rsidR="004A02C5" w:rsidRDefault="00C212D4" w:rsidP="00DD5EA6">
      <w:pPr>
        <w:spacing w:line="240" w:lineRule="auto"/>
        <w:jc w:val="both"/>
        <w:rPr>
          <w:rFonts w:ascii="Arial" w:hAnsi="Arial" w:cs="Arial"/>
        </w:rPr>
      </w:pPr>
      <w:r>
        <w:rPr>
          <w:rFonts w:ascii="Arial" w:hAnsi="Arial" w:cs="Arial"/>
        </w:rPr>
        <w:t xml:space="preserve">The EU has witnessed a dramatic growth in offshore wind farm (OWF) energy generation, especially in the North and Baltic Seas. The tables </w:t>
      </w:r>
      <w:r w:rsidR="002F5CFB">
        <w:rPr>
          <w:rFonts w:ascii="Arial" w:hAnsi="Arial" w:cs="Arial"/>
        </w:rPr>
        <w:t xml:space="preserve">(1-2) </w:t>
      </w:r>
      <w:r>
        <w:rPr>
          <w:rFonts w:ascii="Arial" w:hAnsi="Arial" w:cs="Arial"/>
        </w:rPr>
        <w:t>and figure</w:t>
      </w:r>
      <w:r w:rsidR="002F5CFB">
        <w:rPr>
          <w:rFonts w:ascii="Arial" w:hAnsi="Arial" w:cs="Arial"/>
        </w:rPr>
        <w:t>s (1-2)</w:t>
      </w:r>
      <w:r>
        <w:rPr>
          <w:rFonts w:ascii="Arial" w:hAnsi="Arial" w:cs="Arial"/>
        </w:rPr>
        <w:t xml:space="preserve"> indicate the scale of this growth, and the significant role of UK projects. The UK is and will continue to be the largest OWF energy generator. The recently commissioned Hornsea 1 project, with 170 x 7MW turbines, a total capacity of 1.2 GW, covering an area of 407sqkm, 100 km off the English East Coast, is the largest OWF in the world.</w:t>
      </w:r>
    </w:p>
    <w:p w:rsidR="004A02C5" w:rsidRDefault="004A02C5" w:rsidP="00DD5EA6">
      <w:pPr>
        <w:spacing w:line="240" w:lineRule="auto"/>
        <w:rPr>
          <w:rFonts w:ascii="Arial" w:hAnsi="Arial" w:cs="Arial"/>
          <w:b/>
          <w:sz w:val="24"/>
          <w:szCs w:val="24"/>
        </w:rPr>
      </w:pPr>
      <w:r w:rsidRPr="001D1646">
        <w:rPr>
          <w:rFonts w:ascii="Arial" w:hAnsi="Arial" w:cs="Arial"/>
          <w:b/>
          <w:sz w:val="24"/>
          <w:szCs w:val="24"/>
        </w:rPr>
        <w:t xml:space="preserve">Range of impacts of OWF </w:t>
      </w:r>
      <w:r w:rsidR="00922B92">
        <w:rPr>
          <w:rFonts w:ascii="Arial" w:hAnsi="Arial" w:cs="Arial"/>
          <w:b/>
          <w:sz w:val="24"/>
          <w:szCs w:val="24"/>
        </w:rPr>
        <w:t>p</w:t>
      </w:r>
      <w:r w:rsidRPr="001D1646">
        <w:rPr>
          <w:rFonts w:ascii="Arial" w:hAnsi="Arial" w:cs="Arial"/>
          <w:b/>
          <w:sz w:val="24"/>
          <w:szCs w:val="24"/>
        </w:rPr>
        <w:t>rojects</w:t>
      </w:r>
      <w:r>
        <w:rPr>
          <w:rFonts w:ascii="Arial" w:hAnsi="Arial" w:cs="Arial"/>
          <w:b/>
          <w:sz w:val="24"/>
          <w:szCs w:val="24"/>
        </w:rPr>
        <w:t xml:space="preserve"> </w:t>
      </w:r>
    </w:p>
    <w:p w:rsidR="004A02C5" w:rsidRPr="001D1646" w:rsidRDefault="004A02C5" w:rsidP="00DD5EA6">
      <w:pPr>
        <w:spacing w:line="240" w:lineRule="auto"/>
        <w:jc w:val="both"/>
        <w:rPr>
          <w:rFonts w:ascii="Times New Roman" w:eastAsia="Times New Roman" w:hAnsi="Times New Roman" w:cs="Times New Roman"/>
          <w:lang w:eastAsia="en-GB"/>
        </w:rPr>
      </w:pPr>
      <w:r>
        <w:rPr>
          <w:rFonts w:ascii="Arial" w:hAnsi="Arial" w:cs="Arial"/>
        </w:rPr>
        <w:t xml:space="preserve">For England and Wales, the Planning Inspectorate examines the potential impacts of OWFs of 50MW under the Nationally Significant Infrastructure Projects (NSIP) regime (Planning Act 2008). </w:t>
      </w:r>
      <w:r w:rsidRPr="001D1646">
        <w:rPr>
          <w:rFonts w:ascii="Arial" w:eastAsiaTheme="minorEastAsia" w:hAnsi="Arial" w:cs="Arial"/>
          <w:color w:val="000000" w:themeColor="text1"/>
          <w:kern w:val="24"/>
          <w:lang w:eastAsia="en-GB"/>
        </w:rPr>
        <w:t xml:space="preserve">OWF energy </w:t>
      </w:r>
      <w:r>
        <w:rPr>
          <w:rFonts w:ascii="Arial" w:eastAsiaTheme="minorEastAsia" w:hAnsi="Arial" w:cs="Arial"/>
          <w:color w:val="000000" w:themeColor="text1"/>
          <w:kern w:val="24"/>
          <w:lang w:eastAsia="en-GB"/>
        </w:rPr>
        <w:t xml:space="preserve">is </w:t>
      </w:r>
      <w:r w:rsidRPr="001D1646">
        <w:rPr>
          <w:rFonts w:ascii="Arial" w:eastAsiaTheme="minorEastAsia" w:hAnsi="Arial" w:cs="Arial"/>
          <w:color w:val="000000" w:themeColor="text1"/>
          <w:kern w:val="24"/>
          <w:lang w:eastAsia="en-GB"/>
        </w:rPr>
        <w:t xml:space="preserve">widely viewed as a positive renewable energy option, but </w:t>
      </w:r>
      <w:r>
        <w:rPr>
          <w:rFonts w:ascii="Arial" w:eastAsiaTheme="minorEastAsia" w:hAnsi="Arial" w:cs="Arial"/>
          <w:color w:val="000000" w:themeColor="text1"/>
          <w:kern w:val="24"/>
          <w:lang w:eastAsia="en-GB"/>
        </w:rPr>
        <w:t xml:space="preserve">recent examinations have focused on a range of </w:t>
      </w:r>
      <w:r w:rsidRPr="001D1646">
        <w:rPr>
          <w:rFonts w:ascii="Arial" w:eastAsiaTheme="minorEastAsia" w:hAnsi="Arial" w:cs="Arial"/>
          <w:color w:val="000000" w:themeColor="text1"/>
          <w:kern w:val="24"/>
          <w:lang w:eastAsia="en-GB"/>
        </w:rPr>
        <w:t>potential</w:t>
      </w:r>
      <w:r>
        <w:rPr>
          <w:rFonts w:ascii="Arial" w:eastAsiaTheme="minorEastAsia" w:hAnsi="Arial" w:cs="Arial"/>
          <w:color w:val="000000" w:themeColor="text1"/>
          <w:kern w:val="24"/>
          <w:lang w:eastAsia="en-GB"/>
        </w:rPr>
        <w:t xml:space="preserve">, largely biophysical, </w:t>
      </w:r>
      <w:r w:rsidRPr="001D1646">
        <w:rPr>
          <w:rFonts w:ascii="Arial" w:eastAsiaTheme="minorEastAsia" w:hAnsi="Arial" w:cs="Arial"/>
          <w:color w:val="000000" w:themeColor="text1"/>
          <w:kern w:val="24"/>
          <w:lang w:eastAsia="en-GB"/>
        </w:rPr>
        <w:t xml:space="preserve">negative impacts, </w:t>
      </w:r>
      <w:r>
        <w:rPr>
          <w:rFonts w:ascii="Arial" w:eastAsiaTheme="minorEastAsia" w:hAnsi="Arial" w:cs="Arial"/>
          <w:color w:val="000000" w:themeColor="text1"/>
          <w:kern w:val="24"/>
          <w:lang w:eastAsia="en-GB"/>
        </w:rPr>
        <w:t>including</w:t>
      </w:r>
      <w:r w:rsidRPr="001D1646">
        <w:rPr>
          <w:rFonts w:ascii="Arial" w:eastAsiaTheme="minorEastAsia" w:hAnsi="Arial" w:cs="Arial"/>
          <w:color w:val="000000" w:themeColor="text1"/>
          <w:kern w:val="24"/>
          <w:lang w:eastAsia="en-GB"/>
        </w:rPr>
        <w:t>:</w:t>
      </w:r>
    </w:p>
    <w:p w:rsidR="004A02C5" w:rsidRPr="001D1646" w:rsidRDefault="004A02C5" w:rsidP="00DD5EA6">
      <w:pPr>
        <w:numPr>
          <w:ilvl w:val="0"/>
          <w:numId w:val="2"/>
        </w:numPr>
        <w:spacing w:after="0" w:line="240" w:lineRule="auto"/>
        <w:ind w:left="1080"/>
        <w:contextualSpacing/>
        <w:jc w:val="both"/>
        <w:rPr>
          <w:rFonts w:ascii="Times New Roman" w:eastAsia="Times New Roman" w:hAnsi="Times New Roman" w:cs="Times New Roman"/>
          <w:lang w:eastAsia="en-GB"/>
        </w:rPr>
      </w:pPr>
      <w:r w:rsidRPr="001D1646">
        <w:rPr>
          <w:rFonts w:ascii="Arial" w:eastAsiaTheme="minorEastAsia" w:hAnsi="Arial" w:cs="Arial"/>
          <w:color w:val="000000" w:themeColor="text1"/>
          <w:kern w:val="24"/>
          <w:lang w:eastAsia="en-GB"/>
        </w:rPr>
        <w:t>Ornithology: flight displacement; bird collision</w:t>
      </w:r>
      <w:r>
        <w:rPr>
          <w:rFonts w:ascii="Arial" w:eastAsiaTheme="minorEastAsia" w:hAnsi="Arial" w:cs="Arial"/>
          <w:color w:val="000000" w:themeColor="text1"/>
          <w:kern w:val="24"/>
          <w:lang w:eastAsia="en-GB"/>
        </w:rPr>
        <w:t xml:space="preserve">. This is an area with plenty of research, although the widely used predictive </w:t>
      </w:r>
      <w:r w:rsidRPr="001D1646">
        <w:rPr>
          <w:rFonts w:ascii="Arial" w:eastAsiaTheme="minorEastAsia" w:hAnsi="Arial" w:cs="Arial"/>
          <w:color w:val="000000" w:themeColor="text1"/>
          <w:kern w:val="24"/>
          <w:lang w:eastAsia="en-GB"/>
        </w:rPr>
        <w:t xml:space="preserve">algorithms </w:t>
      </w:r>
      <w:r>
        <w:rPr>
          <w:rFonts w:ascii="Arial" w:eastAsiaTheme="minorEastAsia" w:hAnsi="Arial" w:cs="Arial"/>
          <w:color w:val="000000" w:themeColor="text1"/>
          <w:kern w:val="24"/>
          <w:lang w:eastAsia="en-GB"/>
        </w:rPr>
        <w:t xml:space="preserve">may be </w:t>
      </w:r>
      <w:r w:rsidRPr="001D1646">
        <w:rPr>
          <w:rFonts w:ascii="Arial" w:eastAsiaTheme="minorEastAsia" w:hAnsi="Arial" w:cs="Arial"/>
          <w:color w:val="000000" w:themeColor="text1"/>
          <w:kern w:val="24"/>
          <w:lang w:eastAsia="en-GB"/>
        </w:rPr>
        <w:t>ahead of evidence</w:t>
      </w:r>
      <w:r>
        <w:rPr>
          <w:rFonts w:ascii="Arial" w:eastAsiaTheme="minorEastAsia" w:hAnsi="Arial" w:cs="Arial"/>
          <w:color w:val="000000" w:themeColor="text1"/>
          <w:kern w:val="24"/>
          <w:lang w:eastAsia="en-GB"/>
        </w:rPr>
        <w:t>.</w:t>
      </w:r>
    </w:p>
    <w:p w:rsidR="004A02C5" w:rsidRPr="001D1646" w:rsidRDefault="004A02C5" w:rsidP="00DD5EA6">
      <w:pPr>
        <w:numPr>
          <w:ilvl w:val="0"/>
          <w:numId w:val="2"/>
        </w:numPr>
        <w:spacing w:after="0" w:line="240" w:lineRule="auto"/>
        <w:ind w:left="1080"/>
        <w:contextualSpacing/>
        <w:jc w:val="both"/>
        <w:rPr>
          <w:rFonts w:ascii="Times New Roman" w:eastAsia="Times New Roman" w:hAnsi="Times New Roman" w:cs="Times New Roman"/>
          <w:lang w:eastAsia="en-GB"/>
        </w:rPr>
      </w:pPr>
      <w:proofErr w:type="gramStart"/>
      <w:r w:rsidRPr="001D1646">
        <w:rPr>
          <w:rFonts w:ascii="Arial" w:eastAsiaTheme="minorEastAsia" w:hAnsi="Arial" w:cs="Arial"/>
          <w:color w:val="000000" w:themeColor="text1"/>
          <w:kern w:val="24"/>
          <w:lang w:eastAsia="en-GB"/>
        </w:rPr>
        <w:t>Cetaceans</w:t>
      </w:r>
      <w:proofErr w:type="gramEnd"/>
      <w:r w:rsidRPr="001D1646">
        <w:rPr>
          <w:rFonts w:ascii="Arial" w:eastAsiaTheme="minorEastAsia" w:hAnsi="Arial" w:cs="Arial"/>
          <w:color w:val="000000" w:themeColor="text1"/>
          <w:kern w:val="24"/>
          <w:lang w:eastAsia="en-GB"/>
        </w:rPr>
        <w:t xml:space="preserve"> disturbance, especially from pile driving</w:t>
      </w:r>
      <w:r>
        <w:rPr>
          <w:rFonts w:ascii="Arial" w:eastAsiaTheme="minorEastAsia" w:hAnsi="Arial" w:cs="Arial"/>
          <w:color w:val="000000" w:themeColor="text1"/>
          <w:kern w:val="24"/>
          <w:lang w:eastAsia="en-GB"/>
        </w:rPr>
        <w:t>.</w:t>
      </w:r>
    </w:p>
    <w:p w:rsidR="004A02C5" w:rsidRPr="001D1646" w:rsidRDefault="004A02C5" w:rsidP="00DD5EA6">
      <w:pPr>
        <w:numPr>
          <w:ilvl w:val="0"/>
          <w:numId w:val="2"/>
        </w:numPr>
        <w:spacing w:after="0" w:line="240" w:lineRule="auto"/>
        <w:ind w:left="1080"/>
        <w:contextualSpacing/>
        <w:jc w:val="both"/>
        <w:rPr>
          <w:rFonts w:ascii="Times New Roman" w:eastAsia="Times New Roman" w:hAnsi="Times New Roman" w:cs="Times New Roman"/>
          <w:lang w:eastAsia="en-GB"/>
        </w:rPr>
      </w:pPr>
      <w:r w:rsidRPr="001D1646">
        <w:rPr>
          <w:rFonts w:ascii="Arial" w:eastAsiaTheme="minorEastAsia" w:hAnsi="Arial" w:cs="Arial"/>
          <w:color w:val="000000" w:themeColor="text1"/>
          <w:kern w:val="24"/>
          <w:lang w:eastAsia="en-GB"/>
        </w:rPr>
        <w:t>Fishing disturbance</w:t>
      </w:r>
      <w:r>
        <w:rPr>
          <w:rFonts w:ascii="Arial" w:eastAsiaTheme="minorEastAsia" w:hAnsi="Arial" w:cs="Arial"/>
          <w:color w:val="000000" w:themeColor="text1"/>
          <w:kern w:val="24"/>
          <w:lang w:eastAsia="en-GB"/>
        </w:rPr>
        <w:t>.</w:t>
      </w:r>
      <w:r w:rsidRPr="001D1646">
        <w:rPr>
          <w:rFonts w:ascii="Arial" w:eastAsiaTheme="minorEastAsia" w:hAnsi="Arial" w:cs="Arial"/>
          <w:color w:val="000000" w:themeColor="text1"/>
          <w:kern w:val="24"/>
          <w:lang w:eastAsia="en-GB"/>
        </w:rPr>
        <w:t xml:space="preserve"> </w:t>
      </w:r>
    </w:p>
    <w:p w:rsidR="004A02C5" w:rsidRPr="001D1646" w:rsidRDefault="004A02C5" w:rsidP="00DD5EA6">
      <w:pPr>
        <w:numPr>
          <w:ilvl w:val="0"/>
          <w:numId w:val="2"/>
        </w:numPr>
        <w:spacing w:after="0" w:line="240" w:lineRule="auto"/>
        <w:ind w:left="1080"/>
        <w:contextualSpacing/>
        <w:jc w:val="both"/>
        <w:rPr>
          <w:rFonts w:ascii="Times New Roman" w:eastAsia="Times New Roman" w:hAnsi="Times New Roman" w:cs="Times New Roman"/>
          <w:lang w:eastAsia="en-GB"/>
        </w:rPr>
      </w:pPr>
      <w:r w:rsidRPr="001D1646">
        <w:rPr>
          <w:rFonts w:ascii="Arial" w:eastAsiaTheme="minorEastAsia" w:hAnsi="Arial" w:cs="Arial"/>
          <w:color w:val="000000" w:themeColor="text1"/>
          <w:kern w:val="24"/>
          <w:lang w:eastAsia="en-GB"/>
        </w:rPr>
        <w:t>Shipping routes diversions</w:t>
      </w:r>
      <w:r>
        <w:rPr>
          <w:rFonts w:ascii="Arial" w:eastAsiaTheme="minorEastAsia" w:hAnsi="Arial" w:cs="Arial"/>
          <w:color w:val="000000" w:themeColor="text1"/>
          <w:kern w:val="24"/>
          <w:lang w:eastAsia="en-GB"/>
        </w:rPr>
        <w:t>.</w:t>
      </w:r>
    </w:p>
    <w:p w:rsidR="004A02C5" w:rsidRPr="00DD5EA6" w:rsidRDefault="004A02C5" w:rsidP="00DD5EA6">
      <w:pPr>
        <w:numPr>
          <w:ilvl w:val="0"/>
          <w:numId w:val="2"/>
        </w:numPr>
        <w:spacing w:after="0" w:line="240" w:lineRule="auto"/>
        <w:ind w:left="1080"/>
        <w:contextualSpacing/>
        <w:jc w:val="both"/>
        <w:rPr>
          <w:rFonts w:ascii="Times New Roman" w:eastAsia="Times New Roman" w:hAnsi="Times New Roman" w:cs="Times New Roman"/>
          <w:lang w:eastAsia="en-GB"/>
        </w:rPr>
      </w:pPr>
      <w:r w:rsidRPr="001D1646">
        <w:rPr>
          <w:rFonts w:ascii="Arial" w:eastAsiaTheme="minorEastAsia" w:hAnsi="Arial" w:cs="Arial"/>
          <w:color w:val="000000" w:themeColor="text1"/>
          <w:kern w:val="24"/>
          <w:lang w:eastAsia="en-GB"/>
        </w:rPr>
        <w:t xml:space="preserve">Conflicts with other seabed users – e.g </w:t>
      </w:r>
      <w:r>
        <w:rPr>
          <w:rFonts w:ascii="Arial" w:eastAsiaTheme="minorEastAsia" w:hAnsi="Arial" w:cs="Arial"/>
          <w:color w:val="000000" w:themeColor="text1"/>
          <w:kern w:val="24"/>
          <w:lang w:eastAsia="en-GB"/>
        </w:rPr>
        <w:t xml:space="preserve">the </w:t>
      </w:r>
      <w:r w:rsidRPr="001D1646">
        <w:rPr>
          <w:rFonts w:ascii="Arial" w:eastAsiaTheme="minorEastAsia" w:hAnsi="Arial" w:cs="Arial"/>
          <w:color w:val="000000" w:themeColor="text1"/>
          <w:kern w:val="24"/>
          <w:lang w:eastAsia="en-GB"/>
        </w:rPr>
        <w:t>oil and gas industry</w:t>
      </w:r>
      <w:r>
        <w:rPr>
          <w:rFonts w:ascii="Arial" w:eastAsiaTheme="minorEastAsia" w:hAnsi="Arial" w:cs="Arial"/>
          <w:color w:val="000000" w:themeColor="text1"/>
          <w:kern w:val="24"/>
          <w:lang w:eastAsia="en-GB"/>
        </w:rPr>
        <w:t>.</w:t>
      </w:r>
    </w:p>
    <w:p w:rsidR="00DD5EA6" w:rsidRDefault="00DD5EA6" w:rsidP="00DD5EA6">
      <w:pPr>
        <w:spacing w:before="200" w:after="0" w:line="240" w:lineRule="auto"/>
        <w:jc w:val="both"/>
        <w:rPr>
          <w:rFonts w:ascii="Arial" w:eastAsiaTheme="minorEastAsia" w:hAnsi="Arial" w:cs="Arial"/>
          <w:color w:val="000000" w:themeColor="text1"/>
          <w:kern w:val="24"/>
          <w:lang w:eastAsia="en-GB"/>
        </w:rPr>
      </w:pPr>
      <w:r w:rsidRPr="00DD5EA6">
        <w:rPr>
          <w:rFonts w:ascii="Arial" w:eastAsiaTheme="minorEastAsia" w:hAnsi="Arial" w:cs="Arial"/>
          <w:color w:val="000000" w:themeColor="text1"/>
          <w:kern w:val="24"/>
          <w:lang w:eastAsia="en-GB"/>
        </w:rPr>
        <w:t>Socio-economic impacts, on the other hand, have had a relatively low profile – until recently. There is concern that the benefits leak away anyway from local areas, and, being offshore, there may be an out of sight, out of mind mentality? On the other hand, socioeconomic impacts may have the potential to bring positive socio-economic impacts of a rapidly evolving technology to often deprived local and regional coastal communities. Coastal areas, certainly along the UK East Coast, have suffered from the decline of traditional industries, such as fishing, shipbuilding, and to some extent, tourism. This research, funded by an EU/Vattenfall grant, explore</w:t>
      </w:r>
      <w:r w:rsidR="00A8580A">
        <w:rPr>
          <w:rFonts w:ascii="Arial" w:eastAsiaTheme="minorEastAsia" w:hAnsi="Arial" w:cs="Arial"/>
          <w:color w:val="000000" w:themeColor="text1"/>
          <w:kern w:val="24"/>
          <w:lang w:eastAsia="en-GB"/>
        </w:rPr>
        <w:t>s</w:t>
      </w:r>
      <w:r w:rsidRPr="00DD5EA6">
        <w:rPr>
          <w:rFonts w:ascii="Arial" w:eastAsiaTheme="minorEastAsia" w:hAnsi="Arial" w:cs="Arial"/>
          <w:color w:val="000000" w:themeColor="text1"/>
          <w:kern w:val="24"/>
          <w:lang w:eastAsia="en-GB"/>
        </w:rPr>
        <w:t xml:space="preserve"> the potential significance for local areas of the socio-economic impacts of OWFs.  </w:t>
      </w:r>
    </w:p>
    <w:p w:rsidR="00A8580A" w:rsidRPr="00A8580A" w:rsidRDefault="00A8580A" w:rsidP="00DD5EA6">
      <w:pPr>
        <w:spacing w:before="200" w:after="0" w:line="240" w:lineRule="auto"/>
        <w:jc w:val="both"/>
        <w:rPr>
          <w:rFonts w:ascii="Arial" w:eastAsiaTheme="minorEastAsia" w:hAnsi="Arial" w:cs="Arial"/>
          <w:color w:val="000000" w:themeColor="text1"/>
          <w:kern w:val="24"/>
          <w:sz w:val="16"/>
          <w:szCs w:val="16"/>
          <w:lang w:eastAsia="en-GB"/>
        </w:rPr>
      </w:pPr>
    </w:p>
    <w:p w:rsidR="001F3DD6" w:rsidRDefault="001F3DD6" w:rsidP="001F3DD6">
      <w:pPr>
        <w:spacing w:line="240" w:lineRule="auto"/>
        <w:rPr>
          <w:rFonts w:ascii="Arial" w:hAnsi="Arial" w:cs="Arial"/>
          <w:b/>
          <w:sz w:val="24"/>
          <w:szCs w:val="24"/>
        </w:rPr>
      </w:pPr>
      <w:r w:rsidRPr="001D1646">
        <w:rPr>
          <w:rFonts w:ascii="Arial" w:hAnsi="Arial" w:cs="Arial"/>
          <w:b/>
          <w:sz w:val="24"/>
          <w:szCs w:val="24"/>
        </w:rPr>
        <w:t xml:space="preserve">Researching the </w:t>
      </w:r>
      <w:r w:rsidR="00922B92">
        <w:rPr>
          <w:rFonts w:ascii="Arial" w:hAnsi="Arial" w:cs="Arial"/>
          <w:b/>
          <w:sz w:val="24"/>
          <w:szCs w:val="24"/>
        </w:rPr>
        <w:t>s</w:t>
      </w:r>
      <w:r w:rsidRPr="001D1646">
        <w:rPr>
          <w:rFonts w:ascii="Arial" w:hAnsi="Arial" w:cs="Arial"/>
          <w:b/>
          <w:sz w:val="24"/>
          <w:szCs w:val="24"/>
        </w:rPr>
        <w:t>ocio-</w:t>
      </w:r>
      <w:r w:rsidR="00922B92">
        <w:rPr>
          <w:rFonts w:ascii="Arial" w:hAnsi="Arial" w:cs="Arial"/>
          <w:b/>
          <w:sz w:val="24"/>
          <w:szCs w:val="24"/>
        </w:rPr>
        <w:t>e</w:t>
      </w:r>
      <w:r w:rsidRPr="001D1646">
        <w:rPr>
          <w:rFonts w:ascii="Arial" w:hAnsi="Arial" w:cs="Arial"/>
          <w:b/>
          <w:sz w:val="24"/>
          <w:szCs w:val="24"/>
        </w:rPr>
        <w:t xml:space="preserve">conomic </w:t>
      </w:r>
      <w:r w:rsidR="00922B92">
        <w:rPr>
          <w:rFonts w:ascii="Arial" w:hAnsi="Arial" w:cs="Arial"/>
          <w:b/>
          <w:sz w:val="24"/>
          <w:szCs w:val="24"/>
        </w:rPr>
        <w:t>i</w:t>
      </w:r>
      <w:r w:rsidRPr="001D1646">
        <w:rPr>
          <w:rFonts w:ascii="Arial" w:hAnsi="Arial" w:cs="Arial"/>
          <w:b/>
          <w:sz w:val="24"/>
          <w:szCs w:val="24"/>
        </w:rPr>
        <w:t>mpacts</w:t>
      </w:r>
      <w:r>
        <w:rPr>
          <w:rFonts w:ascii="Arial" w:hAnsi="Arial" w:cs="Arial"/>
          <w:b/>
          <w:sz w:val="24"/>
          <w:szCs w:val="24"/>
        </w:rPr>
        <w:t xml:space="preserve"> of OWFs</w:t>
      </w:r>
    </w:p>
    <w:p w:rsidR="001F3DD6" w:rsidRPr="00CB149E" w:rsidRDefault="001F3DD6" w:rsidP="001F3DD6">
      <w:pPr>
        <w:spacing w:before="150" w:after="0" w:line="240" w:lineRule="auto"/>
        <w:jc w:val="both"/>
        <w:rPr>
          <w:rFonts w:ascii="Arial" w:eastAsia="Times New Roman" w:hAnsi="Arial" w:cs="Arial"/>
          <w:lang w:eastAsia="en-GB"/>
        </w:rPr>
      </w:pPr>
      <w:r w:rsidRPr="00CB149E">
        <w:rPr>
          <w:rFonts w:ascii="Arial" w:eastAsiaTheme="minorEastAsia" w:hAnsi="Arial" w:cs="Arial"/>
          <w:bCs/>
          <w:color w:val="000000" w:themeColor="text1"/>
          <w:kern w:val="24"/>
          <w:lang w:eastAsia="en-GB"/>
        </w:rPr>
        <w:t>The</w:t>
      </w:r>
      <w:r w:rsidRPr="00CB149E">
        <w:rPr>
          <w:rFonts w:ascii="Arial" w:eastAsiaTheme="minorEastAsia" w:hAnsi="Arial" w:cs="Arial"/>
          <w:b/>
          <w:bCs/>
          <w:color w:val="000000" w:themeColor="text1"/>
          <w:kern w:val="24"/>
          <w:lang w:eastAsia="en-GB"/>
        </w:rPr>
        <w:t xml:space="preserve"> Aims </w:t>
      </w:r>
      <w:r w:rsidRPr="00CF634C">
        <w:rPr>
          <w:rFonts w:ascii="Arial" w:eastAsiaTheme="minorEastAsia" w:hAnsi="Arial" w:cs="Arial"/>
          <w:bCs/>
          <w:color w:val="000000" w:themeColor="text1"/>
          <w:kern w:val="24"/>
          <w:lang w:eastAsia="en-GB"/>
        </w:rPr>
        <w:t>are to</w:t>
      </w:r>
      <w:r w:rsidRPr="00CB149E">
        <w:rPr>
          <w:rFonts w:ascii="Arial" w:eastAsiaTheme="minorEastAsia" w:hAnsi="Arial" w:cs="Arial"/>
          <w:b/>
          <w:bCs/>
          <w:i/>
          <w:color w:val="000000" w:themeColor="text1"/>
          <w:kern w:val="24"/>
          <w:lang w:eastAsia="en-GB"/>
        </w:rPr>
        <w:t xml:space="preserve"> </w:t>
      </w:r>
      <w:r w:rsidRPr="00CF634C">
        <w:rPr>
          <w:rFonts w:ascii="Arial" w:eastAsiaTheme="minorEastAsia" w:hAnsi="Arial" w:cs="Arial"/>
          <w:bCs/>
          <w:color w:val="000000" w:themeColor="text1"/>
          <w:kern w:val="24"/>
          <w:lang w:eastAsia="en-GB"/>
        </w:rPr>
        <w:t>e</w:t>
      </w:r>
      <w:r w:rsidRPr="00CB149E">
        <w:rPr>
          <w:rFonts w:ascii="Arial" w:eastAsiaTheme="minorEastAsia" w:hAnsi="Arial" w:cs="Arial"/>
          <w:color w:val="000000" w:themeColor="text1"/>
          <w:kern w:val="24"/>
          <w:lang w:eastAsia="en-GB"/>
        </w:rPr>
        <w:t>xplore methods used to predict socio-economic impacts, compare predicted impacts with actual impacts, seek to enhance understanding of OWF socio-economic impacts, and highlight best practice in how to maximise local benefits.</w:t>
      </w:r>
    </w:p>
    <w:p w:rsidR="001F3DD6" w:rsidRDefault="001F3DD6" w:rsidP="001F3DD6">
      <w:pPr>
        <w:spacing w:before="150" w:after="0" w:line="240" w:lineRule="auto"/>
        <w:jc w:val="both"/>
        <w:rPr>
          <w:rFonts w:ascii="Arial" w:eastAsiaTheme="minorEastAsia" w:hAnsi="Arial" w:cs="Arial"/>
          <w:color w:val="000000" w:themeColor="text1"/>
          <w:kern w:val="24"/>
          <w:lang w:eastAsia="en-GB"/>
        </w:rPr>
      </w:pPr>
      <w:r w:rsidRPr="00CF634C">
        <w:rPr>
          <w:rFonts w:ascii="Arial" w:eastAsiaTheme="minorEastAsia" w:hAnsi="Arial" w:cs="Arial"/>
          <w:bCs/>
          <w:color w:val="000000" w:themeColor="text1"/>
          <w:kern w:val="24"/>
          <w:lang w:eastAsia="en-GB"/>
        </w:rPr>
        <w:t>The</w:t>
      </w:r>
      <w:r w:rsidRPr="00CF634C">
        <w:rPr>
          <w:rFonts w:ascii="Arial" w:eastAsiaTheme="minorEastAsia" w:hAnsi="Arial" w:cs="Arial"/>
          <w:b/>
          <w:bCs/>
          <w:color w:val="000000" w:themeColor="text1"/>
          <w:kern w:val="24"/>
          <w:lang w:eastAsia="en-GB"/>
        </w:rPr>
        <w:t xml:space="preserve"> </w:t>
      </w:r>
      <w:r w:rsidRPr="00CB149E">
        <w:rPr>
          <w:rFonts w:ascii="Arial" w:eastAsiaTheme="minorEastAsia" w:hAnsi="Arial" w:cs="Arial"/>
          <w:b/>
          <w:bCs/>
          <w:color w:val="000000" w:themeColor="text1"/>
          <w:kern w:val="24"/>
          <w:lang w:eastAsia="en-GB"/>
        </w:rPr>
        <w:t>Methods</w:t>
      </w:r>
      <w:r w:rsidRPr="00CB149E">
        <w:rPr>
          <w:rFonts w:ascii="Arial" w:eastAsiaTheme="minorEastAsia" w:hAnsi="Arial" w:cs="Arial"/>
          <w:color w:val="000000" w:themeColor="text1"/>
          <w:kern w:val="24"/>
          <w:lang w:eastAsia="en-GB"/>
        </w:rPr>
        <w:t xml:space="preserve"> </w:t>
      </w:r>
      <w:r w:rsidR="00A8580A">
        <w:rPr>
          <w:rFonts w:ascii="Arial" w:eastAsiaTheme="minorEastAsia" w:hAnsi="Arial" w:cs="Arial"/>
          <w:color w:val="000000" w:themeColor="text1"/>
          <w:kern w:val="24"/>
          <w:lang w:eastAsia="en-GB"/>
        </w:rPr>
        <w:t>has</w:t>
      </w:r>
      <w:r w:rsidRPr="00CF634C">
        <w:rPr>
          <w:rFonts w:ascii="Arial" w:eastAsiaTheme="minorEastAsia" w:hAnsi="Arial" w:cs="Arial"/>
          <w:color w:val="000000" w:themeColor="text1"/>
          <w:kern w:val="24"/>
          <w:lang w:eastAsia="en-GB"/>
        </w:rPr>
        <w:t xml:space="preserve"> four</w:t>
      </w:r>
      <w:r w:rsidRPr="00CB149E">
        <w:rPr>
          <w:rFonts w:ascii="Arial" w:eastAsiaTheme="minorEastAsia" w:hAnsi="Arial" w:cs="Arial"/>
          <w:color w:val="000000" w:themeColor="text1"/>
          <w:kern w:val="24"/>
          <w:lang w:eastAsia="en-GB"/>
        </w:rPr>
        <w:t xml:space="preserve"> elements</w:t>
      </w:r>
      <w:r w:rsidR="00A8580A">
        <w:rPr>
          <w:rFonts w:ascii="Arial" w:eastAsiaTheme="minorEastAsia" w:hAnsi="Arial" w:cs="Arial"/>
          <w:color w:val="000000" w:themeColor="text1"/>
          <w:kern w:val="24"/>
          <w:lang w:eastAsia="en-GB"/>
        </w:rPr>
        <w:t>,</w:t>
      </w:r>
      <w:r w:rsidRPr="00CB149E">
        <w:rPr>
          <w:rFonts w:ascii="Arial" w:eastAsiaTheme="minorEastAsia" w:hAnsi="Arial" w:cs="Arial"/>
          <w:color w:val="000000" w:themeColor="text1"/>
          <w:kern w:val="24"/>
          <w:lang w:eastAsia="en-GB"/>
        </w:rPr>
        <w:t xml:space="preserve"> to</w:t>
      </w:r>
      <w:r>
        <w:rPr>
          <w:rFonts w:ascii="Arial" w:eastAsiaTheme="minorEastAsia" w:hAnsi="Arial" w:cs="Arial"/>
          <w:color w:val="000000" w:themeColor="text1"/>
          <w:kern w:val="24"/>
          <w:lang w:eastAsia="en-GB"/>
        </w:rPr>
        <w:t>:</w:t>
      </w:r>
    </w:p>
    <w:p w:rsidR="001F3DD6" w:rsidRPr="00CF634C" w:rsidRDefault="001F3DD6" w:rsidP="001F3DD6">
      <w:pPr>
        <w:pStyle w:val="ListParagraph"/>
        <w:numPr>
          <w:ilvl w:val="0"/>
          <w:numId w:val="3"/>
        </w:numPr>
        <w:spacing w:before="150" w:after="0" w:line="240" w:lineRule="auto"/>
        <w:jc w:val="both"/>
        <w:rPr>
          <w:rFonts w:ascii="Arial" w:eastAsia="Times New Roman" w:hAnsi="Arial" w:cs="Arial"/>
          <w:lang w:eastAsia="en-GB"/>
        </w:rPr>
      </w:pPr>
      <w:r>
        <w:rPr>
          <w:rFonts w:ascii="Arial" w:eastAsiaTheme="minorEastAsia" w:hAnsi="Arial" w:cs="Arial"/>
          <w:color w:val="000000" w:themeColor="text1"/>
          <w:kern w:val="24"/>
          <w:lang w:eastAsia="en-GB"/>
        </w:rPr>
        <w:t>E</w:t>
      </w:r>
      <w:r w:rsidRPr="00CF634C">
        <w:rPr>
          <w:rFonts w:ascii="Arial" w:eastAsiaTheme="minorEastAsia" w:hAnsi="Arial" w:cs="Arial"/>
          <w:color w:val="000000" w:themeColor="text1"/>
          <w:kern w:val="24"/>
          <w:lang w:eastAsia="en-GB"/>
        </w:rPr>
        <w:t xml:space="preserve">xamine socio-economic impacts literature on OWFs </w:t>
      </w:r>
    </w:p>
    <w:p w:rsidR="001F3DD6" w:rsidRPr="00CF634C" w:rsidRDefault="001F3DD6" w:rsidP="001F3DD6">
      <w:pPr>
        <w:pStyle w:val="ListParagraph"/>
        <w:numPr>
          <w:ilvl w:val="0"/>
          <w:numId w:val="3"/>
        </w:numPr>
        <w:spacing w:before="150" w:after="0" w:line="240" w:lineRule="auto"/>
        <w:jc w:val="both"/>
        <w:rPr>
          <w:rFonts w:ascii="Arial" w:eastAsia="Times New Roman" w:hAnsi="Arial" w:cs="Arial"/>
          <w:lang w:eastAsia="en-GB"/>
        </w:rPr>
      </w:pPr>
      <w:r>
        <w:rPr>
          <w:rFonts w:ascii="Arial" w:eastAsiaTheme="minorEastAsia" w:hAnsi="Arial" w:cs="Arial"/>
          <w:iCs/>
          <w:color w:val="000000" w:themeColor="text1"/>
          <w:kern w:val="24"/>
          <w:lang w:eastAsia="en-GB"/>
        </w:rPr>
        <w:t>M</w:t>
      </w:r>
      <w:r w:rsidRPr="00CF634C">
        <w:rPr>
          <w:rFonts w:ascii="Arial" w:eastAsiaTheme="minorEastAsia" w:hAnsi="Arial" w:cs="Arial"/>
          <w:iCs/>
          <w:color w:val="000000" w:themeColor="text1"/>
          <w:kern w:val="24"/>
          <w:lang w:eastAsia="en-GB"/>
        </w:rPr>
        <w:t xml:space="preserve">onitor the </w:t>
      </w:r>
      <w:r>
        <w:rPr>
          <w:rFonts w:ascii="Arial" w:eastAsiaTheme="minorEastAsia" w:hAnsi="Arial" w:cs="Arial"/>
          <w:iCs/>
          <w:color w:val="000000" w:themeColor="text1"/>
          <w:kern w:val="24"/>
          <w:lang w:eastAsia="en-GB"/>
        </w:rPr>
        <w:t xml:space="preserve">Vattenfall </w:t>
      </w:r>
      <w:r w:rsidRPr="00CF634C">
        <w:rPr>
          <w:rFonts w:ascii="Arial" w:eastAsiaTheme="minorEastAsia" w:hAnsi="Arial" w:cs="Arial"/>
          <w:iCs/>
          <w:color w:val="000000" w:themeColor="text1"/>
          <w:kern w:val="24"/>
          <w:lang w:eastAsia="en-GB"/>
        </w:rPr>
        <w:t>European Offshore Wind Deployment Centre (EOWDC) (Aberdeen OWF) over the project lifecycle</w:t>
      </w:r>
    </w:p>
    <w:p w:rsidR="001F3DD6" w:rsidRPr="00A8580A" w:rsidRDefault="001F3DD6" w:rsidP="001F3DD6">
      <w:pPr>
        <w:pStyle w:val="ListParagraph"/>
        <w:numPr>
          <w:ilvl w:val="0"/>
          <w:numId w:val="3"/>
        </w:numPr>
        <w:spacing w:before="150" w:after="0" w:line="240" w:lineRule="auto"/>
        <w:jc w:val="both"/>
        <w:rPr>
          <w:rFonts w:ascii="Arial" w:eastAsia="Times New Roman" w:hAnsi="Arial" w:cs="Arial"/>
          <w:lang w:eastAsia="en-GB"/>
        </w:rPr>
      </w:pPr>
      <w:r>
        <w:rPr>
          <w:rFonts w:ascii="Arial" w:eastAsiaTheme="minorEastAsia" w:hAnsi="Arial" w:cs="Arial"/>
          <w:iCs/>
          <w:color w:val="000000" w:themeColor="text1"/>
          <w:kern w:val="24"/>
          <w:lang w:eastAsia="en-GB"/>
        </w:rPr>
        <w:t>R</w:t>
      </w:r>
      <w:r w:rsidRPr="00CF634C">
        <w:rPr>
          <w:rFonts w:ascii="Arial" w:eastAsiaTheme="minorEastAsia" w:hAnsi="Arial" w:cs="Arial"/>
          <w:iCs/>
          <w:color w:val="000000" w:themeColor="text1"/>
          <w:kern w:val="24"/>
          <w:lang w:eastAsia="en-GB"/>
        </w:rPr>
        <w:t>eview socio-economic content in recent OWF ESs for UK and other EU states</w:t>
      </w:r>
      <w:r>
        <w:rPr>
          <w:rFonts w:ascii="Arial" w:eastAsiaTheme="minorEastAsia" w:hAnsi="Arial" w:cs="Arial"/>
          <w:iCs/>
          <w:color w:val="000000" w:themeColor="text1"/>
          <w:kern w:val="24"/>
          <w:lang w:eastAsia="en-GB"/>
        </w:rPr>
        <w:t xml:space="preserve"> </w:t>
      </w:r>
    </w:p>
    <w:p w:rsidR="00A8580A" w:rsidRPr="006B74CD" w:rsidRDefault="00A8580A" w:rsidP="00A8580A">
      <w:pPr>
        <w:pStyle w:val="ListParagraph"/>
        <w:numPr>
          <w:ilvl w:val="0"/>
          <w:numId w:val="3"/>
        </w:numPr>
        <w:spacing w:before="150" w:after="0" w:line="240" w:lineRule="auto"/>
        <w:jc w:val="both"/>
        <w:rPr>
          <w:rFonts w:ascii="Arial" w:eastAsia="Times New Roman" w:hAnsi="Arial" w:cs="Arial"/>
          <w:lang w:eastAsia="en-GB"/>
        </w:rPr>
      </w:pPr>
      <w:r>
        <w:rPr>
          <w:rFonts w:ascii="Arial" w:eastAsiaTheme="minorEastAsia" w:hAnsi="Arial" w:cs="Arial"/>
          <w:iCs/>
          <w:color w:val="000000" w:themeColor="text1"/>
          <w:kern w:val="24"/>
          <w:lang w:eastAsia="en-GB"/>
        </w:rPr>
        <w:t>C</w:t>
      </w:r>
      <w:r w:rsidRPr="00CF634C">
        <w:rPr>
          <w:rFonts w:ascii="Arial" w:eastAsiaTheme="minorEastAsia" w:hAnsi="Arial" w:cs="Arial"/>
          <w:iCs/>
          <w:color w:val="000000" w:themeColor="text1"/>
          <w:kern w:val="24"/>
          <w:lang w:eastAsia="en-GB"/>
        </w:rPr>
        <w:t>ompare EOWDC impacts with other studies of OWF: Beatrice (NE Scotland), the Hornsea cluster (England East Coast) and floating OWFs.</w:t>
      </w:r>
    </w:p>
    <w:p w:rsidR="00A8580A" w:rsidRPr="00DD5EA6" w:rsidRDefault="00A8580A" w:rsidP="00A8580A">
      <w:pPr>
        <w:spacing w:before="200" w:after="0" w:line="240" w:lineRule="auto"/>
        <w:jc w:val="both"/>
        <w:rPr>
          <w:rFonts w:ascii="Arial" w:hAnsi="Arial" w:cs="Arial"/>
          <w:b/>
          <w:sz w:val="24"/>
          <w:szCs w:val="24"/>
        </w:rPr>
      </w:pPr>
    </w:p>
    <w:p w:rsidR="00C212D4" w:rsidRDefault="00C212D4" w:rsidP="00DD5EA6">
      <w:pPr>
        <w:spacing w:line="240" w:lineRule="auto"/>
        <w:jc w:val="both"/>
        <w:rPr>
          <w:rFonts w:ascii="Arial" w:hAnsi="Arial" w:cs="Arial"/>
        </w:rPr>
      </w:pPr>
      <w:r>
        <w:rPr>
          <w:noProof/>
          <w:lang w:eastAsia="en-GB"/>
        </w:rPr>
        <w:drawing>
          <wp:inline distT="0" distB="0" distL="0" distR="0" wp14:anchorId="2B86E62A" wp14:editId="409BE1E4">
            <wp:extent cx="5989320" cy="2240280"/>
            <wp:effectExtent l="0" t="0" r="0" b="7620"/>
            <wp:docPr id="5"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9320" cy="2240280"/>
                    </a:xfrm>
                    <a:prstGeom prst="rect">
                      <a:avLst/>
                    </a:prstGeom>
                    <a:noFill/>
                    <a:ln>
                      <a:noFill/>
                    </a:ln>
                  </pic:spPr>
                </pic:pic>
              </a:graphicData>
            </a:graphic>
          </wp:inline>
        </w:drawing>
      </w:r>
    </w:p>
    <w:p w:rsidR="006B3AA5" w:rsidRPr="002F5CFB" w:rsidRDefault="00F855DD" w:rsidP="00DD5EA6">
      <w:pPr>
        <w:spacing w:before="200" w:after="0" w:line="240" w:lineRule="auto"/>
        <w:rPr>
          <w:rFonts w:ascii="Times New Roman" w:eastAsia="Times New Roman" w:hAnsi="Times New Roman" w:cs="Times New Roman"/>
          <w:lang w:eastAsia="en-GB"/>
        </w:rPr>
      </w:pPr>
      <w:r>
        <w:rPr>
          <w:rFonts w:ascii="Arial" w:eastAsiaTheme="minorEastAsia" w:hAnsi="Arial" w:cs="Arial"/>
          <w:b/>
          <w:color w:val="000000" w:themeColor="text1"/>
          <w:kern w:val="24"/>
          <w:lang w:eastAsia="en-GB"/>
        </w:rPr>
        <w:t xml:space="preserve">  </w:t>
      </w:r>
      <w:r w:rsidR="006B3AA5">
        <w:rPr>
          <w:rFonts w:ascii="Arial" w:eastAsiaTheme="minorEastAsia" w:hAnsi="Arial" w:cs="Arial"/>
          <w:b/>
          <w:color w:val="000000" w:themeColor="text1"/>
          <w:kern w:val="24"/>
          <w:lang w:eastAsia="en-GB"/>
        </w:rPr>
        <w:t>Table</w:t>
      </w:r>
      <w:r w:rsidR="006B3AA5" w:rsidRPr="002F5CFB">
        <w:rPr>
          <w:rFonts w:ascii="Arial" w:eastAsiaTheme="minorEastAsia" w:hAnsi="Arial" w:cs="Arial"/>
          <w:b/>
          <w:color w:val="000000" w:themeColor="text1"/>
          <w:kern w:val="24"/>
          <w:lang w:eastAsia="en-GB"/>
        </w:rPr>
        <w:t xml:space="preserve"> 1</w:t>
      </w:r>
      <w:r w:rsidR="006B3AA5" w:rsidRPr="002F5CFB">
        <w:rPr>
          <w:rFonts w:ascii="Arial" w:eastAsiaTheme="minorEastAsia" w:hAnsi="Arial" w:cs="Arial"/>
          <w:color w:val="000000" w:themeColor="text1"/>
          <w:kern w:val="24"/>
          <w:lang w:eastAsia="en-GB"/>
        </w:rPr>
        <w:t>: European OWF</w:t>
      </w:r>
      <w:r w:rsidR="006B3AA5">
        <w:rPr>
          <w:rFonts w:ascii="Arial" w:eastAsiaTheme="minorEastAsia" w:hAnsi="Arial" w:cs="Arial"/>
          <w:color w:val="000000" w:themeColor="text1"/>
          <w:kern w:val="24"/>
          <w:lang w:eastAsia="en-GB"/>
        </w:rPr>
        <w:t>-</w:t>
      </w:r>
      <w:r w:rsidR="006B3AA5" w:rsidRPr="002F5CFB">
        <w:rPr>
          <w:rFonts w:ascii="Arial" w:eastAsiaTheme="minorEastAsia" w:hAnsi="Arial" w:cs="Arial"/>
          <w:color w:val="000000" w:themeColor="text1"/>
          <w:kern w:val="24"/>
          <w:lang w:eastAsia="en-GB"/>
        </w:rPr>
        <w:t xml:space="preserve">connected turbines &amp; installed MW capacity (2017) </w:t>
      </w:r>
      <w:r w:rsidR="006B3AA5" w:rsidRPr="00F855DD">
        <w:rPr>
          <w:rFonts w:ascii="Arial" w:eastAsiaTheme="minorEastAsia" w:hAnsi="Arial" w:cs="Arial"/>
          <w:color w:val="000000" w:themeColor="text1"/>
          <w:kern w:val="24"/>
          <w:sz w:val="20"/>
          <w:szCs w:val="20"/>
          <w:lang w:eastAsia="en-GB"/>
        </w:rPr>
        <w:t>(Wind Europe 2018</w:t>
      </w:r>
      <w:r w:rsidR="006B3AA5" w:rsidRPr="002F5CFB">
        <w:rPr>
          <w:rFonts w:ascii="Arial" w:eastAsiaTheme="minorEastAsia" w:hAnsi="Arial" w:cs="Arial"/>
          <w:color w:val="000000" w:themeColor="text1"/>
          <w:kern w:val="24"/>
          <w:lang w:eastAsia="en-GB"/>
        </w:rPr>
        <w:t>)</w:t>
      </w:r>
    </w:p>
    <w:p w:rsidR="003524DA" w:rsidRDefault="003524DA" w:rsidP="00DD5EA6">
      <w:pPr>
        <w:spacing w:line="240" w:lineRule="auto"/>
        <w:rPr>
          <w:rFonts w:ascii="Arial" w:hAnsi="Arial" w:cs="Arial"/>
        </w:rPr>
      </w:pPr>
      <w:r>
        <w:rPr>
          <w:noProof/>
          <w:lang w:eastAsia="en-GB"/>
        </w:rPr>
        <w:drawing>
          <wp:inline distT="0" distB="0" distL="0" distR="0" wp14:anchorId="0A162164" wp14:editId="21EF9D59">
            <wp:extent cx="5974080" cy="2476500"/>
            <wp:effectExtent l="0" t="0" r="7620" b="0"/>
            <wp:docPr id="1"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080" cy="2476500"/>
                    </a:xfrm>
                    <a:prstGeom prst="rect">
                      <a:avLst/>
                    </a:prstGeom>
                    <a:noFill/>
                    <a:ln>
                      <a:noFill/>
                    </a:ln>
                  </pic:spPr>
                </pic:pic>
              </a:graphicData>
            </a:graphic>
          </wp:inline>
        </w:drawing>
      </w:r>
    </w:p>
    <w:p w:rsidR="006B3AA5" w:rsidRPr="00F855DD" w:rsidRDefault="006B3AA5" w:rsidP="00DD5EA6">
      <w:pPr>
        <w:spacing w:line="240" w:lineRule="auto"/>
        <w:rPr>
          <w:rFonts w:ascii="Arial" w:hAnsi="Arial" w:cs="Arial"/>
          <w:sz w:val="20"/>
          <w:szCs w:val="20"/>
        </w:rPr>
      </w:pPr>
      <w:r w:rsidRPr="002F5CFB">
        <w:rPr>
          <w:rFonts w:ascii="Arial" w:eastAsiaTheme="majorEastAsia" w:hAnsi="Arial" w:cs="Arial"/>
          <w:b/>
          <w:color w:val="000000" w:themeColor="text1"/>
          <w:kern w:val="24"/>
        </w:rPr>
        <w:t>Table 2</w:t>
      </w:r>
      <w:r>
        <w:rPr>
          <w:rFonts w:ascii="Arial" w:eastAsiaTheme="majorEastAsia" w:hAnsi="Arial" w:cs="Arial"/>
          <w:color w:val="000000" w:themeColor="text1"/>
          <w:kern w:val="24"/>
        </w:rPr>
        <w:t xml:space="preserve">: </w:t>
      </w:r>
      <w:r w:rsidRPr="002F5CFB">
        <w:rPr>
          <w:rFonts w:ascii="Arial" w:eastAsiaTheme="majorEastAsia" w:hAnsi="Arial" w:cs="Arial"/>
          <w:color w:val="000000" w:themeColor="text1"/>
          <w:kern w:val="24"/>
        </w:rPr>
        <w:t>European offshore wind power</w:t>
      </w:r>
      <w:r>
        <w:rPr>
          <w:rFonts w:ascii="Arial" w:eastAsiaTheme="majorEastAsia" w:hAnsi="Arial" w:cs="Arial"/>
          <w:color w:val="000000" w:themeColor="text1"/>
          <w:kern w:val="24"/>
        </w:rPr>
        <w:t>--c</w:t>
      </w:r>
      <w:r w:rsidRPr="002F5CFB">
        <w:rPr>
          <w:rFonts w:ascii="Arial" w:eastAsiaTheme="majorEastAsia" w:hAnsi="Arial" w:cs="Arial"/>
          <w:color w:val="000000" w:themeColor="text1"/>
          <w:kern w:val="24"/>
        </w:rPr>
        <w:t xml:space="preserve">umulative capacity to 2030 </w:t>
      </w:r>
      <w:r w:rsidRPr="00F855DD">
        <w:rPr>
          <w:rFonts w:ascii="Arial" w:eastAsiaTheme="majorEastAsia" w:hAnsi="Arial" w:cs="Arial"/>
          <w:color w:val="000000" w:themeColor="text1"/>
          <w:kern w:val="24"/>
          <w:sz w:val="20"/>
          <w:szCs w:val="20"/>
        </w:rPr>
        <w:t>(Wind Europe 2018)</w:t>
      </w:r>
    </w:p>
    <w:p w:rsidR="00A8580A" w:rsidRDefault="00A8580A" w:rsidP="00DD5EA6">
      <w:pPr>
        <w:spacing w:after="0" w:line="240" w:lineRule="auto"/>
        <w:rPr>
          <w:rFonts w:ascii="Arial" w:hAnsi="Arial" w:cs="Arial"/>
          <w:b/>
        </w:rPr>
      </w:pPr>
    </w:p>
    <w:p w:rsidR="00DD5EA6" w:rsidRDefault="002F5CFB" w:rsidP="00DD5EA6">
      <w:pPr>
        <w:spacing w:after="0" w:line="240" w:lineRule="auto"/>
        <w:rPr>
          <w:rFonts w:ascii="Arial" w:hAnsi="Arial" w:cs="Arial"/>
        </w:rPr>
      </w:pPr>
      <w:r w:rsidRPr="002F5CFB">
        <w:rPr>
          <w:rFonts w:ascii="Arial" w:hAnsi="Arial" w:cs="Arial"/>
          <w:b/>
        </w:rPr>
        <w:t>Figure 1</w:t>
      </w:r>
      <w:r>
        <w:rPr>
          <w:rFonts w:ascii="Arial" w:hAnsi="Arial" w:cs="Arial"/>
        </w:rPr>
        <w:t xml:space="preserve">: </w:t>
      </w:r>
      <w:r w:rsidR="003524DA">
        <w:rPr>
          <w:rFonts w:ascii="Arial" w:hAnsi="Arial" w:cs="Arial"/>
        </w:rPr>
        <w:t xml:space="preserve">UK OWF zones                                        </w:t>
      </w:r>
      <w:r w:rsidR="00DD5EA6" w:rsidRPr="002F5CFB">
        <w:rPr>
          <w:rFonts w:ascii="Arial" w:hAnsi="Arial" w:cs="Arial"/>
          <w:b/>
        </w:rPr>
        <w:t>Figure 2</w:t>
      </w:r>
      <w:r w:rsidR="00DD5EA6">
        <w:rPr>
          <w:rFonts w:ascii="Arial" w:hAnsi="Arial" w:cs="Arial"/>
        </w:rPr>
        <w:t>: Hornsea 1 Project</w:t>
      </w:r>
    </w:p>
    <w:p w:rsidR="00C212D4" w:rsidRPr="003524DA" w:rsidRDefault="003524DA" w:rsidP="00DD5EA6">
      <w:pPr>
        <w:spacing w:after="0" w:line="240" w:lineRule="auto"/>
        <w:ind w:left="-510" w:firstLine="720"/>
        <w:rPr>
          <w:rFonts w:ascii="Arial" w:hAnsi="Arial" w:cs="Arial"/>
        </w:rPr>
      </w:pPr>
      <w:r>
        <w:rPr>
          <w:rFonts w:ascii="Arial" w:hAnsi="Arial" w:cs="Arial"/>
        </w:rPr>
        <w:t xml:space="preserve">                         </w:t>
      </w:r>
    </w:p>
    <w:p w:rsidR="00C212D4" w:rsidRDefault="003524DA" w:rsidP="00DD5EA6">
      <w:pPr>
        <w:spacing w:line="240" w:lineRule="auto"/>
        <w:rPr>
          <w:rFonts w:ascii="Arial" w:hAnsi="Arial" w:cs="Arial"/>
        </w:rPr>
      </w:pPr>
      <w:r>
        <w:rPr>
          <w:rFonts w:ascii="Arial" w:hAnsi="Arial" w:cs="Arial"/>
        </w:rPr>
        <w:t xml:space="preserve"> </w:t>
      </w:r>
      <w:r>
        <w:rPr>
          <w:noProof/>
          <w:lang w:eastAsia="en-GB"/>
        </w:rPr>
        <w:drawing>
          <wp:inline distT="0" distB="0" distL="0" distR="0" wp14:anchorId="2BB543AD" wp14:editId="63F20928">
            <wp:extent cx="2796540" cy="2468245"/>
            <wp:effectExtent l="0" t="0" r="3810" b="8255"/>
            <wp:docPr id="1028" name="Picture 4" descr="Image result for Map of UK Offshore Wind Farm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Map of UK Offshore Wind Farms"/>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8621" cy="2514212"/>
                    </a:xfrm>
                    <a:prstGeom prst="rect">
                      <a:avLst/>
                    </a:prstGeom>
                    <a:noFill/>
                    <a:extLst/>
                  </pic:spPr>
                </pic:pic>
              </a:graphicData>
            </a:graphic>
          </wp:inline>
        </w:drawing>
      </w:r>
      <w:r w:rsidR="00DD5EA6">
        <w:rPr>
          <w:rFonts w:ascii="Arial" w:hAnsi="Arial" w:cs="Arial"/>
        </w:rPr>
        <w:t xml:space="preserve">      </w:t>
      </w:r>
      <w:r w:rsidR="00DD5EA6">
        <w:rPr>
          <w:noProof/>
          <w:lang w:eastAsia="en-GB"/>
        </w:rPr>
        <w:drawing>
          <wp:inline distT="0" distB="0" distL="0" distR="0" wp14:anchorId="2F01BA4B" wp14:editId="7054AD47">
            <wp:extent cx="2705100" cy="2524494"/>
            <wp:effectExtent l="0" t="0" r="0" b="9525"/>
            <wp:docPr id="1026" name="Picture 2" descr="Image result for Photos of Hornsea 1 Offshore Wind Farm"/>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Photos of Hornsea 1 Offshore Wind Farm"/>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477" cy="2537911"/>
                    </a:xfrm>
                    <a:prstGeom prst="rect">
                      <a:avLst/>
                    </a:prstGeom>
                    <a:noFill/>
                    <a:extLst/>
                  </pic:spPr>
                </pic:pic>
              </a:graphicData>
            </a:graphic>
          </wp:inline>
        </w:drawing>
      </w:r>
    </w:p>
    <w:p w:rsidR="006B74CD" w:rsidRPr="006B74CD" w:rsidRDefault="006B74CD" w:rsidP="00DD5EA6">
      <w:pPr>
        <w:spacing w:line="240" w:lineRule="auto"/>
        <w:jc w:val="both"/>
        <w:rPr>
          <w:rFonts w:ascii="Arial" w:hAnsi="Arial" w:cs="Arial"/>
          <w:sz w:val="16"/>
          <w:szCs w:val="16"/>
        </w:rPr>
      </w:pPr>
    </w:p>
    <w:p w:rsidR="0089565B" w:rsidRDefault="001F3DD6" w:rsidP="00DD5EA6">
      <w:pPr>
        <w:spacing w:line="240" w:lineRule="auto"/>
        <w:jc w:val="both"/>
        <w:rPr>
          <w:rFonts w:ascii="Arial" w:hAnsi="Arial" w:cs="Arial"/>
        </w:rPr>
      </w:pPr>
      <w:r>
        <w:rPr>
          <w:rFonts w:ascii="Arial" w:hAnsi="Arial" w:cs="Arial"/>
        </w:rPr>
        <w:lastRenderedPageBreak/>
        <w:t>S</w:t>
      </w:r>
      <w:r w:rsidR="006B74CD">
        <w:rPr>
          <w:rFonts w:ascii="Arial" w:hAnsi="Arial" w:cs="Arial"/>
        </w:rPr>
        <w:t xml:space="preserve">tudies of the socio-economic impacts of wind energy have until recently focused on the more numerous onshore </w:t>
      </w:r>
      <w:r w:rsidR="0089565B">
        <w:rPr>
          <w:rFonts w:ascii="Arial" w:hAnsi="Arial" w:cs="Arial"/>
        </w:rPr>
        <w:t xml:space="preserve">wind farm </w:t>
      </w:r>
      <w:r w:rsidR="006B74CD">
        <w:rPr>
          <w:rFonts w:ascii="Arial" w:hAnsi="Arial" w:cs="Arial"/>
        </w:rPr>
        <w:t xml:space="preserve">activities. However, over the last 5-10 years there has been </w:t>
      </w:r>
      <w:r w:rsidR="001C07A0">
        <w:rPr>
          <w:rFonts w:ascii="Arial" w:hAnsi="Arial" w:cs="Arial"/>
        </w:rPr>
        <w:t>grow</w:t>
      </w:r>
      <w:r w:rsidR="006B74CD">
        <w:rPr>
          <w:rFonts w:ascii="Arial" w:hAnsi="Arial" w:cs="Arial"/>
        </w:rPr>
        <w:t>ing interest</w:t>
      </w:r>
      <w:r w:rsidR="002F5CFB">
        <w:rPr>
          <w:rFonts w:ascii="Arial" w:hAnsi="Arial" w:cs="Arial"/>
        </w:rPr>
        <w:t xml:space="preserve"> in the impacts of OWF.</w:t>
      </w:r>
      <w:r w:rsidR="006B74CD">
        <w:rPr>
          <w:rFonts w:ascii="Arial" w:hAnsi="Arial" w:cs="Arial"/>
        </w:rPr>
        <w:t xml:space="preserve"> </w:t>
      </w:r>
      <w:r w:rsidR="002F5CFB">
        <w:rPr>
          <w:rFonts w:ascii="Arial" w:hAnsi="Arial" w:cs="Arial"/>
        </w:rPr>
        <w:t xml:space="preserve">A key </w:t>
      </w:r>
      <w:r w:rsidR="001C07A0">
        <w:rPr>
          <w:rFonts w:ascii="Arial" w:hAnsi="Arial" w:cs="Arial"/>
        </w:rPr>
        <w:t xml:space="preserve">practice </w:t>
      </w:r>
      <w:r w:rsidR="002F5CFB">
        <w:rPr>
          <w:rFonts w:ascii="Arial" w:hAnsi="Arial" w:cs="Arial"/>
        </w:rPr>
        <w:t>focus in the UK has been on the issue of local content, and reducing economic leakage</w:t>
      </w:r>
      <w:r w:rsidR="001C07A0">
        <w:rPr>
          <w:rFonts w:ascii="Arial" w:hAnsi="Arial" w:cs="Arial"/>
        </w:rPr>
        <w:t>.</w:t>
      </w:r>
      <w:r w:rsidR="002F5CFB">
        <w:rPr>
          <w:rFonts w:ascii="Arial" w:hAnsi="Arial" w:cs="Arial"/>
        </w:rPr>
        <w:t xml:space="preserve"> Table 3 illustrates the variations in </w:t>
      </w:r>
      <w:r w:rsidR="001C07A0">
        <w:rPr>
          <w:rFonts w:ascii="Arial" w:hAnsi="Arial" w:cs="Arial"/>
        </w:rPr>
        <w:t xml:space="preserve">UK </w:t>
      </w:r>
      <w:r w:rsidR="002F5CFB">
        <w:rPr>
          <w:rFonts w:ascii="Arial" w:hAnsi="Arial" w:cs="Arial"/>
        </w:rPr>
        <w:t xml:space="preserve">leakage, estimated from data from recent operational stations, across the various stages in the project life cycle -- </w:t>
      </w:r>
      <w:r w:rsidR="006B3AA5">
        <w:rPr>
          <w:rFonts w:ascii="Arial" w:hAnsi="Arial" w:cs="Arial"/>
        </w:rPr>
        <w:t>from pre-construction development work (DEVEX), through the major construction stage (CAPEX) to the operation and management stage (OPEX).</w:t>
      </w:r>
    </w:p>
    <w:p w:rsidR="001D1646" w:rsidRDefault="0089565B" w:rsidP="00DD5EA6">
      <w:pPr>
        <w:spacing w:line="240" w:lineRule="auto"/>
        <w:jc w:val="both"/>
        <w:rPr>
          <w:rFonts w:ascii="Arial" w:hAnsi="Arial" w:cs="Arial"/>
        </w:rPr>
      </w:pPr>
      <w:r w:rsidRPr="00885670">
        <w:rPr>
          <w:rFonts w:ascii="Arial" w:hAnsi="Arial" w:cs="Arial"/>
        </w:rPr>
        <w:t>Research findings</w:t>
      </w:r>
      <w:r>
        <w:rPr>
          <w:rFonts w:ascii="Arial" w:hAnsi="Arial" w:cs="Arial"/>
        </w:rPr>
        <w:t xml:space="preserve"> (eg. </w:t>
      </w:r>
      <w:r w:rsidRPr="00DF2588">
        <w:rPr>
          <w:rFonts w:ascii="Arial" w:hAnsi="Arial" w:cs="Arial"/>
        </w:rPr>
        <w:t>Firestone et al, 2012</w:t>
      </w:r>
      <w:r>
        <w:rPr>
          <w:rFonts w:ascii="Arial" w:hAnsi="Arial" w:cs="Arial"/>
        </w:rPr>
        <w:t xml:space="preserve">; </w:t>
      </w:r>
      <w:r w:rsidRPr="00DF2588">
        <w:rPr>
          <w:rFonts w:ascii="Arial" w:hAnsi="Arial" w:cs="Arial"/>
        </w:rPr>
        <w:t>Hatta</w:t>
      </w:r>
      <w:r>
        <w:rPr>
          <w:rFonts w:ascii="Arial" w:hAnsi="Arial" w:cs="Arial"/>
        </w:rPr>
        <w:t>m</w:t>
      </w:r>
      <w:r w:rsidRPr="00DF2588">
        <w:rPr>
          <w:rFonts w:ascii="Arial" w:hAnsi="Arial" w:cs="Arial"/>
        </w:rPr>
        <w:t xml:space="preserve"> et al, 2015</w:t>
      </w:r>
      <w:r>
        <w:rPr>
          <w:rFonts w:ascii="Arial" w:hAnsi="Arial" w:cs="Arial"/>
        </w:rPr>
        <w:t xml:space="preserve">) </w:t>
      </w:r>
      <w:r w:rsidRPr="00885670">
        <w:rPr>
          <w:rFonts w:ascii="Arial" w:hAnsi="Arial" w:cs="Arial"/>
        </w:rPr>
        <w:t>indicate that OWF</w:t>
      </w:r>
      <w:r>
        <w:rPr>
          <w:rFonts w:ascii="Arial" w:hAnsi="Arial" w:cs="Arial"/>
        </w:rPr>
        <w:t>s</w:t>
      </w:r>
      <w:r w:rsidRPr="00885670">
        <w:rPr>
          <w:rFonts w:ascii="Arial" w:hAnsi="Arial" w:cs="Arial"/>
        </w:rPr>
        <w:t xml:space="preserve"> overall can have a positive impact on well-being.</w:t>
      </w:r>
      <w:r>
        <w:rPr>
          <w:rFonts w:ascii="Arial" w:hAnsi="Arial" w:cs="Arial"/>
        </w:rPr>
        <w:t xml:space="preserve"> Social impact studies focus on factors influencing public attitudes to OWF including potential conflicts in </w:t>
      </w:r>
      <w:r w:rsidRPr="00DF2588">
        <w:rPr>
          <w:rFonts w:ascii="Arial" w:hAnsi="Arial" w:cs="Arial"/>
        </w:rPr>
        <w:t>the dynamic use of the sea by many users simultaneously,</w:t>
      </w:r>
      <w:r>
        <w:rPr>
          <w:rFonts w:ascii="Arial" w:hAnsi="Arial" w:cs="Arial"/>
        </w:rPr>
        <w:t xml:space="preserve"> concerns about marine wildlife and visual impacts ; see for example </w:t>
      </w:r>
      <w:r w:rsidRPr="00DF2588">
        <w:rPr>
          <w:rFonts w:ascii="Arial" w:hAnsi="Arial" w:cs="Arial"/>
        </w:rPr>
        <w:t>Wiersma and Devine-Wright (2014</w:t>
      </w:r>
      <w:r>
        <w:rPr>
          <w:rFonts w:ascii="Arial" w:hAnsi="Arial" w:cs="Arial"/>
        </w:rPr>
        <w:t xml:space="preserve">). </w:t>
      </w:r>
      <w:r w:rsidRPr="003C6788">
        <w:rPr>
          <w:rFonts w:ascii="Arial" w:hAnsi="Arial" w:cs="Arial"/>
          <w:i/>
        </w:rPr>
        <w:t xml:space="preserve"> </w:t>
      </w:r>
      <w:r w:rsidRPr="00885670">
        <w:rPr>
          <w:rFonts w:ascii="Arial" w:hAnsi="Arial" w:cs="Arial"/>
        </w:rPr>
        <w:t xml:space="preserve"> Other findings show that early community engagement in the development of an OWF can alleviate fears and uncertainty, which in turn has a positive effect on the social impacts of an offshore development</w:t>
      </w:r>
      <w:r w:rsidR="00DD5EA6">
        <w:rPr>
          <w:rFonts w:ascii="Arial" w:hAnsi="Arial" w:cs="Arial"/>
        </w:rPr>
        <w:t>.</w:t>
      </w:r>
      <w:r w:rsidRPr="00885670">
        <w:rPr>
          <w:rFonts w:ascii="Arial" w:hAnsi="Arial" w:cs="Arial"/>
        </w:rPr>
        <w:t xml:space="preserve"> Mitigation and enhancement methods, such as offering community benefits</w:t>
      </w:r>
      <w:r>
        <w:rPr>
          <w:rFonts w:ascii="Arial" w:hAnsi="Arial" w:cs="Arial"/>
        </w:rPr>
        <w:t>,</w:t>
      </w:r>
      <w:r w:rsidRPr="00885670">
        <w:rPr>
          <w:rFonts w:ascii="Arial" w:hAnsi="Arial" w:cs="Arial"/>
        </w:rPr>
        <w:t xml:space="preserve"> </w:t>
      </w:r>
      <w:proofErr w:type="gramStart"/>
      <w:r w:rsidRPr="00885670">
        <w:rPr>
          <w:rFonts w:ascii="Arial" w:hAnsi="Arial" w:cs="Arial"/>
        </w:rPr>
        <w:t>are also seen</w:t>
      </w:r>
      <w:proofErr w:type="gramEnd"/>
      <w:r w:rsidRPr="00885670">
        <w:rPr>
          <w:rFonts w:ascii="Arial" w:hAnsi="Arial" w:cs="Arial"/>
        </w:rPr>
        <w:t xml:space="preserve"> as positive</w:t>
      </w:r>
      <w:r w:rsidR="001C07A0">
        <w:rPr>
          <w:rFonts w:ascii="Arial" w:hAnsi="Arial" w:cs="Arial"/>
        </w:rPr>
        <w:t>.</w:t>
      </w:r>
      <w:r w:rsidRPr="00885670">
        <w:rPr>
          <w:rFonts w:ascii="Arial" w:hAnsi="Arial" w:cs="Arial"/>
        </w:rPr>
        <w:t xml:space="preserve"> </w:t>
      </w:r>
    </w:p>
    <w:p w:rsidR="00F855DD" w:rsidRDefault="00F855DD" w:rsidP="00DD5EA6">
      <w:pPr>
        <w:spacing w:line="240" w:lineRule="auto"/>
        <w:jc w:val="both"/>
        <w:rPr>
          <w:rFonts w:ascii="Arial" w:hAnsi="Arial" w:cs="Arial"/>
        </w:rPr>
      </w:pPr>
      <w:r>
        <w:rPr>
          <w:noProof/>
          <w:lang w:eastAsia="en-GB"/>
        </w:rPr>
        <w:drawing>
          <wp:inline distT="0" distB="0" distL="0" distR="0" wp14:anchorId="08FAF424" wp14:editId="1E74B0B8">
            <wp:extent cx="6187440" cy="191325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06868" cy="1919262"/>
                    </a:xfrm>
                    <a:prstGeom prst="rect">
                      <a:avLst/>
                    </a:prstGeom>
                  </pic:spPr>
                </pic:pic>
              </a:graphicData>
            </a:graphic>
          </wp:inline>
        </w:drawing>
      </w:r>
    </w:p>
    <w:p w:rsidR="00F855DD" w:rsidRDefault="00F855DD" w:rsidP="00F855DD">
      <w:pPr>
        <w:spacing w:line="240" w:lineRule="auto"/>
        <w:jc w:val="both"/>
        <w:rPr>
          <w:rFonts w:ascii="Arial" w:hAnsi="Arial" w:cs="Arial"/>
          <w:noProof/>
          <w:sz w:val="20"/>
          <w:szCs w:val="20"/>
          <w:lang w:eastAsia="en-GB"/>
        </w:rPr>
      </w:pPr>
      <w:r w:rsidRPr="00885670">
        <w:rPr>
          <w:rFonts w:ascii="Arial" w:hAnsi="Arial" w:cs="Arial"/>
          <w:b/>
          <w:noProof/>
          <w:lang w:eastAsia="en-GB"/>
        </w:rPr>
        <w:t xml:space="preserve">Table </w:t>
      </w:r>
      <w:r>
        <w:rPr>
          <w:rFonts w:ascii="Arial" w:hAnsi="Arial" w:cs="Arial"/>
          <w:b/>
          <w:noProof/>
          <w:lang w:eastAsia="en-GB"/>
        </w:rPr>
        <w:t>3</w:t>
      </w:r>
      <w:r w:rsidRPr="00885670">
        <w:rPr>
          <w:rFonts w:ascii="Arial" w:hAnsi="Arial" w:cs="Arial"/>
          <w:b/>
          <w:noProof/>
          <w:lang w:eastAsia="en-GB"/>
        </w:rPr>
        <w:t xml:space="preserve">:  </w:t>
      </w:r>
      <w:r w:rsidRPr="00FD2CD1">
        <w:rPr>
          <w:rFonts w:ascii="Arial" w:hAnsi="Arial" w:cs="Arial"/>
        </w:rPr>
        <w:t xml:space="preserve">2017 Industry Report on UK Content </w:t>
      </w:r>
      <w:r>
        <w:rPr>
          <w:rFonts w:ascii="Arial" w:hAnsi="Arial" w:cs="Arial"/>
        </w:rPr>
        <w:t>(</w:t>
      </w:r>
      <w:r>
        <w:rPr>
          <w:rFonts w:ascii="Arial" w:hAnsi="Arial" w:cs="Arial"/>
          <w:noProof/>
          <w:sz w:val="20"/>
          <w:szCs w:val="20"/>
          <w:lang w:eastAsia="en-GB"/>
        </w:rPr>
        <w:t>RenewablesUK (2017)</w:t>
      </w:r>
    </w:p>
    <w:p w:rsidR="00DD5EA6" w:rsidRDefault="00DD5EA6" w:rsidP="00DD5EA6">
      <w:pPr>
        <w:spacing w:line="240" w:lineRule="auto"/>
        <w:rPr>
          <w:rFonts w:ascii="Arial" w:hAnsi="Arial" w:cs="Arial"/>
          <w:b/>
          <w:sz w:val="24"/>
          <w:szCs w:val="24"/>
        </w:rPr>
      </w:pPr>
      <w:r w:rsidRPr="0089565B">
        <w:rPr>
          <w:rFonts w:ascii="Arial" w:hAnsi="Arial" w:cs="Arial"/>
          <w:b/>
          <w:sz w:val="24"/>
          <w:szCs w:val="24"/>
        </w:rPr>
        <w:t xml:space="preserve">Predicted </w:t>
      </w:r>
      <w:r w:rsidR="00922B92">
        <w:rPr>
          <w:rFonts w:ascii="Arial" w:hAnsi="Arial" w:cs="Arial"/>
          <w:b/>
          <w:sz w:val="24"/>
          <w:szCs w:val="24"/>
        </w:rPr>
        <w:t>i</w:t>
      </w:r>
      <w:r w:rsidRPr="0089565B">
        <w:rPr>
          <w:rFonts w:ascii="Arial" w:hAnsi="Arial" w:cs="Arial"/>
          <w:b/>
          <w:sz w:val="24"/>
          <w:szCs w:val="24"/>
        </w:rPr>
        <w:t>mpacts from review of ESs</w:t>
      </w:r>
    </w:p>
    <w:p w:rsidR="00DD5EA6" w:rsidRPr="00B87D66" w:rsidRDefault="00DD5EA6" w:rsidP="00DD5EA6">
      <w:pPr>
        <w:spacing w:line="240" w:lineRule="auto"/>
        <w:jc w:val="both"/>
        <w:rPr>
          <w:rFonts w:ascii="Arial" w:hAnsi="Arial" w:cs="Arial"/>
          <w:noProof/>
          <w:sz w:val="20"/>
          <w:szCs w:val="20"/>
          <w:lang w:eastAsia="en-GB"/>
        </w:rPr>
      </w:pPr>
      <w:r w:rsidRPr="00447FD8">
        <w:rPr>
          <w:rFonts w:ascii="Arial" w:hAnsi="Arial" w:cs="Arial"/>
          <w:noProof/>
          <w:lang w:eastAsia="en-GB"/>
        </w:rPr>
        <w:t xml:space="preserve">The focus of this element of the research is the socio-economic content of Environmental Statements (ESs) for OWF consent applications since the start of 2010 – for developments of </w:t>
      </w:r>
      <w:r>
        <w:rPr>
          <w:rFonts w:ascii="Arial" w:hAnsi="Arial" w:cs="Arial"/>
          <w:noProof/>
          <w:lang w:eastAsia="en-GB"/>
        </w:rPr>
        <w:t xml:space="preserve">at least </w:t>
      </w:r>
      <w:r w:rsidRPr="00447FD8">
        <w:rPr>
          <w:rFonts w:ascii="Arial" w:hAnsi="Arial" w:cs="Arial"/>
          <w:noProof/>
          <w:lang w:eastAsia="en-GB"/>
        </w:rPr>
        <w:t xml:space="preserve">50 MW. We reviewed the ESs for 24 UK OWF projects, and 12 non-UK OWF projects (Belgium, Netherlands, Denmark, Sweden and </w:t>
      </w:r>
      <w:r>
        <w:rPr>
          <w:rFonts w:ascii="Arial" w:hAnsi="Arial" w:cs="Arial"/>
          <w:noProof/>
          <w:lang w:eastAsia="en-GB"/>
        </w:rPr>
        <w:t>Ireland)</w:t>
      </w:r>
      <w:r w:rsidRPr="00447FD8">
        <w:rPr>
          <w:rFonts w:ascii="Arial" w:hAnsi="Arial" w:cs="Arial"/>
          <w:noProof/>
          <w:lang w:eastAsia="en-GB"/>
        </w:rPr>
        <w:t xml:space="preserve">. </w:t>
      </w:r>
      <w:r w:rsidRPr="001F056A">
        <w:rPr>
          <w:rFonts w:ascii="Arial" w:hAnsi="Arial" w:cs="Arial"/>
        </w:rPr>
        <w:t xml:space="preserve">The </w:t>
      </w:r>
      <w:r>
        <w:rPr>
          <w:rFonts w:ascii="Arial" w:hAnsi="Arial" w:cs="Arial"/>
        </w:rPr>
        <w:t xml:space="preserve">UK </w:t>
      </w:r>
      <w:r w:rsidRPr="001F056A">
        <w:rPr>
          <w:rFonts w:ascii="Arial" w:hAnsi="Arial" w:cs="Arial"/>
        </w:rPr>
        <w:t xml:space="preserve">review includes projects ranging in size </w:t>
      </w:r>
      <w:r>
        <w:rPr>
          <w:rFonts w:ascii="Arial" w:hAnsi="Arial" w:cs="Arial"/>
        </w:rPr>
        <w:t>up</w:t>
      </w:r>
      <w:r w:rsidRPr="001F056A">
        <w:rPr>
          <w:rFonts w:ascii="Arial" w:hAnsi="Arial" w:cs="Arial"/>
        </w:rPr>
        <w:t xml:space="preserve"> to </w:t>
      </w:r>
      <w:r>
        <w:rPr>
          <w:rFonts w:ascii="Arial" w:hAnsi="Arial" w:cs="Arial"/>
        </w:rPr>
        <w:t>24</w:t>
      </w:r>
      <w:r w:rsidRPr="001F056A">
        <w:rPr>
          <w:rFonts w:ascii="Arial" w:hAnsi="Arial" w:cs="Arial"/>
        </w:rPr>
        <w:t xml:space="preserve">00MW. In total, the ESs contain proposals for </w:t>
      </w:r>
      <w:r>
        <w:rPr>
          <w:rFonts w:ascii="Arial" w:hAnsi="Arial" w:cs="Arial"/>
        </w:rPr>
        <w:t>over 15GW of power</w:t>
      </w:r>
      <w:r w:rsidRPr="00780574">
        <w:rPr>
          <w:rFonts w:ascii="Arial" w:hAnsi="Arial" w:cs="Arial"/>
        </w:rPr>
        <w:t>.</w:t>
      </w:r>
      <w:r>
        <w:rPr>
          <w:rFonts w:ascii="Arial" w:hAnsi="Arial" w:cs="Arial"/>
        </w:rPr>
        <w:t xml:space="preserve"> Below is a summary of some key findings:</w:t>
      </w:r>
    </w:p>
    <w:p w:rsidR="00735449" w:rsidRPr="00735449" w:rsidRDefault="00735449" w:rsidP="00DD5EA6">
      <w:pPr>
        <w:numPr>
          <w:ilvl w:val="0"/>
          <w:numId w:val="4"/>
        </w:numPr>
        <w:spacing w:after="0" w:line="240" w:lineRule="auto"/>
        <w:ind w:left="360"/>
        <w:contextualSpacing/>
        <w:jc w:val="both"/>
        <w:rPr>
          <w:rFonts w:ascii="Arial" w:eastAsia="Times New Roman" w:hAnsi="Arial" w:cs="Arial"/>
          <w:lang w:eastAsia="en-GB"/>
        </w:rPr>
      </w:pPr>
      <w:r w:rsidRPr="00735449">
        <w:rPr>
          <w:rFonts w:ascii="Arial" w:eastAsiaTheme="minorEastAsia" w:hAnsi="Arial" w:cs="Arial"/>
          <w:i/>
          <w:iCs/>
          <w:color w:val="000000" w:themeColor="text1"/>
          <w:kern w:val="24"/>
          <w:lang w:eastAsia="en-GB"/>
        </w:rPr>
        <w:t>All ESs include section on socio-economic effects</w:t>
      </w:r>
      <w:r w:rsidRPr="00735449">
        <w:rPr>
          <w:rFonts w:ascii="Arial" w:eastAsiaTheme="minorEastAsia" w:hAnsi="Arial" w:cs="Arial"/>
          <w:color w:val="000000" w:themeColor="text1"/>
          <w:kern w:val="24"/>
          <w:lang w:eastAsia="en-GB"/>
        </w:rPr>
        <w:t>, ranging in length from 17</w:t>
      </w:r>
      <w:r w:rsidR="00A659B9">
        <w:rPr>
          <w:rFonts w:ascii="Arial" w:eastAsiaTheme="minorEastAsia" w:hAnsi="Arial" w:cs="Arial"/>
          <w:color w:val="000000" w:themeColor="text1"/>
          <w:kern w:val="24"/>
          <w:lang w:eastAsia="en-GB"/>
        </w:rPr>
        <w:t xml:space="preserve">pp </w:t>
      </w:r>
      <w:r w:rsidRPr="00735449">
        <w:rPr>
          <w:rFonts w:ascii="Arial" w:eastAsiaTheme="minorEastAsia" w:hAnsi="Arial" w:cs="Arial"/>
          <w:color w:val="000000" w:themeColor="text1"/>
          <w:kern w:val="24"/>
          <w:lang w:eastAsia="en-GB"/>
        </w:rPr>
        <w:t>to 150 pp</w:t>
      </w:r>
      <w:r w:rsidR="00A659B9">
        <w:rPr>
          <w:rFonts w:ascii="Arial" w:eastAsiaTheme="minorEastAsia" w:hAnsi="Arial" w:cs="Arial"/>
          <w:color w:val="000000" w:themeColor="text1"/>
          <w:kern w:val="24"/>
          <w:lang w:eastAsia="en-GB"/>
        </w:rPr>
        <w:t>.</w:t>
      </w:r>
    </w:p>
    <w:p w:rsidR="00735449" w:rsidRPr="00735449" w:rsidRDefault="00A659B9" w:rsidP="00DD5EA6">
      <w:pPr>
        <w:numPr>
          <w:ilvl w:val="0"/>
          <w:numId w:val="4"/>
        </w:numPr>
        <w:spacing w:after="0" w:line="240" w:lineRule="auto"/>
        <w:ind w:left="360"/>
        <w:contextualSpacing/>
        <w:jc w:val="both"/>
        <w:rPr>
          <w:rFonts w:ascii="Arial" w:eastAsia="Times New Roman" w:hAnsi="Arial" w:cs="Arial"/>
          <w:lang w:eastAsia="en-GB"/>
        </w:rPr>
      </w:pPr>
      <w:r>
        <w:rPr>
          <w:rFonts w:ascii="Arial" w:eastAsiaTheme="minorEastAsia" w:hAnsi="Arial" w:cs="Arial"/>
          <w:i/>
          <w:iCs/>
          <w:color w:val="000000" w:themeColor="text1"/>
          <w:kern w:val="24"/>
          <w:lang w:eastAsia="en-GB"/>
        </w:rPr>
        <w:t>The b</w:t>
      </w:r>
      <w:r w:rsidR="00735449" w:rsidRPr="00735449">
        <w:rPr>
          <w:rFonts w:ascii="Arial" w:eastAsiaTheme="minorEastAsia" w:hAnsi="Arial" w:cs="Arial"/>
          <w:i/>
          <w:iCs/>
          <w:color w:val="000000" w:themeColor="text1"/>
          <w:kern w:val="24"/>
          <w:lang w:eastAsia="en-GB"/>
        </w:rPr>
        <w:t>ulk of ESs come under English N</w:t>
      </w:r>
      <w:r w:rsidR="001C07A0">
        <w:rPr>
          <w:rFonts w:ascii="Arial" w:eastAsiaTheme="minorEastAsia" w:hAnsi="Arial" w:cs="Arial"/>
          <w:i/>
          <w:iCs/>
          <w:color w:val="000000" w:themeColor="text1"/>
          <w:kern w:val="24"/>
          <w:lang w:eastAsia="en-GB"/>
        </w:rPr>
        <w:t>SIP</w:t>
      </w:r>
      <w:r w:rsidR="00735449">
        <w:rPr>
          <w:rFonts w:ascii="Arial" w:eastAsiaTheme="minorEastAsia" w:hAnsi="Arial" w:cs="Arial"/>
          <w:i/>
          <w:iCs/>
          <w:color w:val="000000" w:themeColor="text1"/>
          <w:kern w:val="24"/>
          <w:lang w:eastAsia="en-GB"/>
        </w:rPr>
        <w:t xml:space="preserve"> </w:t>
      </w:r>
      <w:r w:rsidR="00735449" w:rsidRPr="00735449">
        <w:rPr>
          <w:rFonts w:ascii="Arial" w:eastAsiaTheme="minorEastAsia" w:hAnsi="Arial" w:cs="Arial"/>
          <w:i/>
          <w:iCs/>
          <w:color w:val="000000" w:themeColor="text1"/>
          <w:kern w:val="24"/>
          <w:lang w:eastAsia="en-GB"/>
        </w:rPr>
        <w:t>regime</w:t>
      </w:r>
      <w:r w:rsidR="00735449" w:rsidRPr="00735449">
        <w:rPr>
          <w:rFonts w:ascii="Arial" w:eastAsiaTheme="minorEastAsia" w:hAnsi="Arial" w:cs="Arial"/>
          <w:color w:val="000000" w:themeColor="text1"/>
          <w:kern w:val="24"/>
          <w:lang w:eastAsia="en-GB"/>
        </w:rPr>
        <w:t>. Major developers include DONG/Orsted, Vattenfall, and SSE</w:t>
      </w:r>
      <w:r w:rsidR="001C07A0">
        <w:rPr>
          <w:rFonts w:ascii="Arial" w:eastAsiaTheme="minorEastAsia" w:hAnsi="Arial" w:cs="Arial"/>
          <w:color w:val="000000" w:themeColor="text1"/>
          <w:kern w:val="24"/>
          <w:lang w:eastAsia="en-GB"/>
        </w:rPr>
        <w:t>.</w:t>
      </w:r>
      <w:r w:rsidR="00735449" w:rsidRPr="00735449">
        <w:rPr>
          <w:rFonts w:ascii="Arial" w:eastAsiaTheme="minorEastAsia" w:hAnsi="Arial" w:cs="Arial"/>
          <w:color w:val="000000" w:themeColor="text1"/>
          <w:kern w:val="24"/>
          <w:lang w:eastAsia="en-GB"/>
        </w:rPr>
        <w:t xml:space="preserve"> </w:t>
      </w:r>
    </w:p>
    <w:p w:rsidR="00735449" w:rsidRPr="00735449" w:rsidRDefault="00735449" w:rsidP="00DD5EA6">
      <w:pPr>
        <w:numPr>
          <w:ilvl w:val="0"/>
          <w:numId w:val="4"/>
        </w:numPr>
        <w:spacing w:after="0" w:line="240" w:lineRule="auto"/>
        <w:ind w:left="360"/>
        <w:contextualSpacing/>
        <w:jc w:val="both"/>
        <w:rPr>
          <w:rFonts w:ascii="Arial" w:eastAsia="Times New Roman" w:hAnsi="Arial" w:cs="Arial"/>
          <w:lang w:eastAsia="en-GB"/>
        </w:rPr>
      </w:pPr>
      <w:r w:rsidRPr="00735449">
        <w:rPr>
          <w:rFonts w:ascii="Arial" w:eastAsiaTheme="minorEastAsia" w:hAnsi="Arial" w:cs="Arial"/>
          <w:i/>
          <w:iCs/>
          <w:color w:val="000000" w:themeColor="text1"/>
          <w:kern w:val="24"/>
          <w:lang w:eastAsia="en-GB"/>
        </w:rPr>
        <w:t>Much more coverage of economic than social</w:t>
      </w:r>
      <w:r w:rsidRPr="00735449">
        <w:rPr>
          <w:rFonts w:ascii="Arial" w:eastAsiaTheme="minorEastAsia" w:hAnsi="Arial" w:cs="Arial"/>
          <w:color w:val="000000" w:themeColor="text1"/>
          <w:kern w:val="24"/>
          <w:lang w:eastAsia="en-GB"/>
        </w:rPr>
        <w:t xml:space="preserve"> </w:t>
      </w:r>
      <w:proofErr w:type="gramStart"/>
      <w:r w:rsidR="00A8580A" w:rsidRPr="00A8580A">
        <w:rPr>
          <w:rFonts w:ascii="Arial" w:eastAsiaTheme="minorEastAsia" w:hAnsi="Arial" w:cs="Arial"/>
          <w:i/>
          <w:color w:val="000000" w:themeColor="text1"/>
          <w:kern w:val="24"/>
          <w:lang w:eastAsia="en-GB"/>
        </w:rPr>
        <w:t>impacts</w:t>
      </w:r>
      <w:proofErr w:type="gramEnd"/>
      <w:r w:rsidR="00A8580A">
        <w:rPr>
          <w:rFonts w:ascii="Arial" w:eastAsiaTheme="minorEastAsia" w:hAnsi="Arial" w:cs="Arial"/>
          <w:color w:val="000000" w:themeColor="text1"/>
          <w:kern w:val="24"/>
          <w:lang w:eastAsia="en-GB"/>
        </w:rPr>
        <w:t xml:space="preserve"> </w:t>
      </w:r>
      <w:r w:rsidRPr="00735449">
        <w:rPr>
          <w:rFonts w:ascii="Arial" w:eastAsiaTheme="minorEastAsia" w:hAnsi="Arial" w:cs="Arial"/>
          <w:color w:val="000000" w:themeColor="text1"/>
          <w:kern w:val="24"/>
          <w:lang w:eastAsia="en-GB"/>
        </w:rPr>
        <w:t xml:space="preserve">(ratio of about c 5:1). </w:t>
      </w:r>
      <w:r w:rsidRPr="00735449">
        <w:rPr>
          <w:rFonts w:ascii="Arial" w:eastAsiaTheme="minorEastAsia" w:hAnsi="Arial" w:cs="Arial"/>
          <w:i/>
          <w:iCs/>
          <w:color w:val="000000" w:themeColor="text1"/>
          <w:kern w:val="24"/>
          <w:lang w:eastAsia="en-GB"/>
        </w:rPr>
        <w:t>Economic focus</w:t>
      </w:r>
      <w:r w:rsidRPr="00735449">
        <w:rPr>
          <w:rFonts w:ascii="Arial" w:eastAsiaTheme="minorEastAsia" w:hAnsi="Arial" w:cs="Arial"/>
          <w:color w:val="000000" w:themeColor="text1"/>
          <w:kern w:val="24"/>
          <w:lang w:eastAsia="en-GB"/>
        </w:rPr>
        <w:t xml:space="preserve"> </w:t>
      </w:r>
      <w:r w:rsidRPr="00735449">
        <w:rPr>
          <w:rFonts w:ascii="Arial" w:eastAsiaTheme="minorEastAsia" w:hAnsi="Arial" w:cs="Arial"/>
          <w:i/>
          <w:iCs/>
          <w:color w:val="000000" w:themeColor="text1"/>
          <w:kern w:val="24"/>
          <w:lang w:eastAsia="en-GB"/>
        </w:rPr>
        <w:t>is on employment especially</w:t>
      </w:r>
      <w:r w:rsidR="001C07A0">
        <w:rPr>
          <w:rFonts w:ascii="Arial" w:eastAsiaTheme="minorEastAsia" w:hAnsi="Arial" w:cs="Arial"/>
          <w:i/>
          <w:iCs/>
          <w:color w:val="000000" w:themeColor="text1"/>
          <w:kern w:val="24"/>
          <w:lang w:eastAsia="en-GB"/>
        </w:rPr>
        <w:t xml:space="preserve"> and </w:t>
      </w:r>
      <w:r w:rsidRPr="00735449">
        <w:rPr>
          <w:rFonts w:ascii="Arial" w:eastAsiaTheme="minorEastAsia" w:hAnsi="Arial" w:cs="Arial"/>
          <w:i/>
          <w:iCs/>
          <w:color w:val="000000" w:themeColor="text1"/>
          <w:kern w:val="24"/>
          <w:lang w:eastAsia="en-GB"/>
        </w:rPr>
        <w:t xml:space="preserve">supply chain </w:t>
      </w:r>
      <w:r w:rsidR="001C07A0">
        <w:rPr>
          <w:rFonts w:ascii="Arial" w:eastAsiaTheme="minorEastAsia" w:hAnsi="Arial" w:cs="Arial"/>
          <w:i/>
          <w:iCs/>
          <w:color w:val="000000" w:themeColor="text1"/>
          <w:kern w:val="24"/>
          <w:lang w:eastAsia="en-GB"/>
        </w:rPr>
        <w:t>impac</w:t>
      </w:r>
      <w:r w:rsidRPr="00735449">
        <w:rPr>
          <w:rFonts w:ascii="Arial" w:eastAsiaTheme="minorEastAsia" w:hAnsi="Arial" w:cs="Arial"/>
          <w:i/>
          <w:iCs/>
          <w:color w:val="000000" w:themeColor="text1"/>
          <w:kern w:val="24"/>
          <w:lang w:eastAsia="en-GB"/>
        </w:rPr>
        <w:t>ts.</w:t>
      </w:r>
      <w:r w:rsidRPr="00735449">
        <w:rPr>
          <w:rFonts w:ascii="Arial" w:eastAsiaTheme="minorEastAsia" w:hAnsi="Arial" w:cs="Arial"/>
          <w:color w:val="000000" w:themeColor="text1"/>
          <w:kern w:val="24"/>
          <w:lang w:eastAsia="en-GB"/>
        </w:rPr>
        <w:t xml:space="preserve"> Coverage of social impacts</w:t>
      </w:r>
      <w:r w:rsidR="00A659B9">
        <w:rPr>
          <w:rFonts w:ascii="Arial" w:eastAsiaTheme="minorEastAsia" w:hAnsi="Arial" w:cs="Arial"/>
          <w:color w:val="000000" w:themeColor="text1"/>
          <w:kern w:val="24"/>
          <w:lang w:eastAsia="en-GB"/>
        </w:rPr>
        <w:t xml:space="preserve"> (eg visual, local services, wellbeing etc)</w:t>
      </w:r>
      <w:r w:rsidRPr="00735449">
        <w:rPr>
          <w:rFonts w:ascii="Arial" w:eastAsiaTheme="minorEastAsia" w:hAnsi="Arial" w:cs="Arial"/>
          <w:color w:val="000000" w:themeColor="text1"/>
          <w:kern w:val="24"/>
          <w:lang w:eastAsia="en-GB"/>
        </w:rPr>
        <w:t xml:space="preserve"> is even less in </w:t>
      </w:r>
      <w:r w:rsidR="00A659B9">
        <w:rPr>
          <w:rFonts w:ascii="Arial" w:eastAsiaTheme="minorEastAsia" w:hAnsi="Arial" w:cs="Arial"/>
          <w:color w:val="000000" w:themeColor="text1"/>
          <w:kern w:val="24"/>
          <w:lang w:eastAsia="en-GB"/>
        </w:rPr>
        <w:t xml:space="preserve">some </w:t>
      </w:r>
      <w:r w:rsidRPr="00735449">
        <w:rPr>
          <w:rFonts w:ascii="Arial" w:eastAsiaTheme="minorEastAsia" w:hAnsi="Arial" w:cs="Arial"/>
          <w:color w:val="000000" w:themeColor="text1"/>
          <w:kern w:val="24"/>
          <w:lang w:eastAsia="en-GB"/>
        </w:rPr>
        <w:t>recent ESs, with much scoping out</w:t>
      </w:r>
      <w:r w:rsidR="001C07A0">
        <w:rPr>
          <w:rFonts w:ascii="Arial" w:eastAsiaTheme="minorEastAsia" w:hAnsi="Arial" w:cs="Arial"/>
          <w:color w:val="000000" w:themeColor="text1"/>
          <w:kern w:val="24"/>
          <w:lang w:eastAsia="en-GB"/>
        </w:rPr>
        <w:t>.</w:t>
      </w:r>
      <w:r w:rsidRPr="00735449">
        <w:rPr>
          <w:rFonts w:ascii="Arial" w:eastAsiaTheme="minorEastAsia" w:hAnsi="Arial" w:cs="Arial"/>
          <w:color w:val="000000" w:themeColor="text1"/>
          <w:kern w:val="24"/>
          <w:lang w:eastAsia="en-GB"/>
        </w:rPr>
        <w:t xml:space="preserve">  </w:t>
      </w:r>
    </w:p>
    <w:p w:rsidR="00F76DC2" w:rsidRPr="00735449" w:rsidRDefault="00064CB5" w:rsidP="00DD5EA6">
      <w:pPr>
        <w:numPr>
          <w:ilvl w:val="0"/>
          <w:numId w:val="4"/>
        </w:numPr>
        <w:spacing w:after="0" w:line="240" w:lineRule="auto"/>
        <w:ind w:left="360"/>
        <w:contextualSpacing/>
        <w:jc w:val="both"/>
        <w:rPr>
          <w:rFonts w:ascii="Arial" w:eastAsia="Times New Roman" w:hAnsi="Arial" w:cs="Arial"/>
          <w:lang w:eastAsia="en-GB"/>
        </w:rPr>
      </w:pPr>
      <w:r w:rsidRPr="00735449">
        <w:rPr>
          <w:rFonts w:ascii="Arial" w:eastAsia="Times New Roman" w:hAnsi="Arial" w:cs="Arial"/>
          <w:i/>
          <w:iCs/>
          <w:lang w:eastAsia="en-GB"/>
        </w:rPr>
        <w:t xml:space="preserve">Methodology </w:t>
      </w:r>
      <w:r w:rsidRPr="00735449">
        <w:rPr>
          <w:rFonts w:ascii="Arial" w:eastAsia="Times New Roman" w:hAnsi="Arial" w:cs="Arial"/>
          <w:lang w:eastAsia="en-GB"/>
        </w:rPr>
        <w:t xml:space="preserve">– scenario approach gives vast ranges of </w:t>
      </w:r>
      <w:r w:rsidR="00A659B9">
        <w:rPr>
          <w:rFonts w:ascii="Arial" w:eastAsia="Times New Roman" w:hAnsi="Arial" w:cs="Arial"/>
          <w:lang w:eastAsia="en-GB"/>
        </w:rPr>
        <w:t xml:space="preserve">predicted </w:t>
      </w:r>
      <w:r w:rsidRPr="00735449">
        <w:rPr>
          <w:rFonts w:ascii="Arial" w:eastAsia="Times New Roman" w:hAnsi="Arial" w:cs="Arial"/>
          <w:lang w:eastAsia="en-GB"/>
        </w:rPr>
        <w:t xml:space="preserve">economic impacts; </w:t>
      </w:r>
      <w:r w:rsidR="00735449">
        <w:rPr>
          <w:rFonts w:ascii="Arial" w:eastAsia="Times New Roman" w:hAnsi="Arial" w:cs="Arial"/>
          <w:lang w:eastAsia="en-GB"/>
        </w:rPr>
        <w:t xml:space="preserve">ambiguity over </w:t>
      </w:r>
      <w:r w:rsidRPr="00735449">
        <w:rPr>
          <w:rFonts w:ascii="Arial" w:eastAsia="Times New Roman" w:hAnsi="Arial" w:cs="Arial"/>
          <w:lang w:eastAsia="en-GB"/>
        </w:rPr>
        <w:t>port location</w:t>
      </w:r>
      <w:r w:rsidR="00735449">
        <w:rPr>
          <w:rFonts w:ascii="Arial" w:eastAsia="Times New Roman" w:hAnsi="Arial" w:cs="Arial"/>
          <w:lang w:eastAsia="en-GB"/>
        </w:rPr>
        <w:t xml:space="preserve"> is a major issue</w:t>
      </w:r>
      <w:r w:rsidR="00A659B9">
        <w:rPr>
          <w:rFonts w:ascii="Arial" w:eastAsia="Times New Roman" w:hAnsi="Arial" w:cs="Arial"/>
          <w:lang w:eastAsia="en-GB"/>
        </w:rPr>
        <w:t>, resulting in uncertainty about impacts.</w:t>
      </w:r>
      <w:r w:rsidRPr="00735449">
        <w:rPr>
          <w:rFonts w:ascii="Arial" w:eastAsia="Times New Roman" w:hAnsi="Arial" w:cs="Arial"/>
          <w:lang w:eastAsia="en-GB"/>
        </w:rPr>
        <w:t xml:space="preserve"> </w:t>
      </w:r>
      <w:r w:rsidRPr="00735449">
        <w:rPr>
          <w:rFonts w:ascii="Arial" w:eastAsia="Times New Roman" w:hAnsi="Arial" w:cs="Arial"/>
          <w:bCs/>
          <w:lang w:eastAsia="en-GB"/>
        </w:rPr>
        <w:t xml:space="preserve"> </w:t>
      </w:r>
    </w:p>
    <w:p w:rsidR="00F76DC2" w:rsidRDefault="00064CB5" w:rsidP="00DD5EA6">
      <w:pPr>
        <w:numPr>
          <w:ilvl w:val="0"/>
          <w:numId w:val="4"/>
        </w:numPr>
        <w:spacing w:after="0" w:line="240" w:lineRule="auto"/>
        <w:ind w:left="360"/>
        <w:contextualSpacing/>
        <w:jc w:val="both"/>
        <w:rPr>
          <w:rFonts w:ascii="Arial" w:eastAsia="Times New Roman" w:hAnsi="Arial" w:cs="Arial"/>
          <w:lang w:eastAsia="en-GB"/>
        </w:rPr>
      </w:pPr>
      <w:r w:rsidRPr="00735449">
        <w:rPr>
          <w:rFonts w:ascii="Arial" w:eastAsia="Times New Roman" w:hAnsi="Arial" w:cs="Arial"/>
          <w:i/>
          <w:iCs/>
          <w:lang w:eastAsia="en-GB"/>
        </w:rPr>
        <w:t>Focus is on construction stage, especially offshore</w:t>
      </w:r>
      <w:proofErr w:type="gramStart"/>
      <w:r w:rsidRPr="00735449">
        <w:rPr>
          <w:rFonts w:ascii="Arial" w:eastAsia="Times New Roman" w:hAnsi="Arial" w:cs="Arial"/>
          <w:lang w:eastAsia="en-GB"/>
        </w:rPr>
        <w:t>;</w:t>
      </w:r>
      <w:proofErr w:type="gramEnd"/>
      <w:r w:rsidRPr="00735449">
        <w:rPr>
          <w:rFonts w:ascii="Arial" w:eastAsia="Times New Roman" w:hAnsi="Arial" w:cs="Arial"/>
          <w:lang w:eastAsia="en-GB"/>
        </w:rPr>
        <w:t xml:space="preserve"> but important to recognise </w:t>
      </w:r>
      <w:r w:rsidRPr="00735449">
        <w:rPr>
          <w:rFonts w:ascii="Arial" w:eastAsia="Times New Roman" w:hAnsi="Arial" w:cs="Arial"/>
          <w:i/>
          <w:iCs/>
          <w:lang w:eastAsia="en-GB"/>
        </w:rPr>
        <w:t xml:space="preserve">the local potential of the impact of O&amp;M stage. </w:t>
      </w:r>
      <w:r w:rsidRPr="00735449">
        <w:rPr>
          <w:rFonts w:ascii="Arial" w:eastAsia="Times New Roman" w:hAnsi="Arial" w:cs="Arial"/>
          <w:lang w:eastAsia="en-GB"/>
        </w:rPr>
        <w:t xml:space="preserve">A topic of growing importance for the 20-25 years project lifecycle is the opportunity for </w:t>
      </w:r>
      <w:r w:rsidRPr="00735449">
        <w:rPr>
          <w:rFonts w:ascii="Arial" w:eastAsia="Times New Roman" w:hAnsi="Arial" w:cs="Arial"/>
          <w:i/>
          <w:iCs/>
          <w:lang w:eastAsia="en-GB"/>
        </w:rPr>
        <w:t>community benefits initiatives, which can be substantial</w:t>
      </w:r>
      <w:r w:rsidRPr="00735449">
        <w:rPr>
          <w:rFonts w:ascii="Arial" w:eastAsia="Times New Roman" w:hAnsi="Arial" w:cs="Arial"/>
          <w:lang w:eastAsia="en-GB"/>
        </w:rPr>
        <w:t>.</w:t>
      </w:r>
    </w:p>
    <w:p w:rsidR="00A659B9" w:rsidRPr="00735449" w:rsidRDefault="00A659B9" w:rsidP="00DD5EA6">
      <w:pPr>
        <w:numPr>
          <w:ilvl w:val="0"/>
          <w:numId w:val="4"/>
        </w:numPr>
        <w:spacing w:after="0" w:line="240" w:lineRule="auto"/>
        <w:ind w:left="360"/>
        <w:contextualSpacing/>
        <w:jc w:val="both"/>
        <w:rPr>
          <w:rFonts w:ascii="Arial" w:eastAsia="Times New Roman" w:hAnsi="Arial" w:cs="Arial"/>
          <w:lang w:eastAsia="en-GB"/>
        </w:rPr>
      </w:pPr>
      <w:r w:rsidRPr="00735449">
        <w:rPr>
          <w:rFonts w:ascii="Arial" w:eastAsia="Times New Roman" w:hAnsi="Arial" w:cs="Arial"/>
          <w:lang w:eastAsia="en-GB"/>
        </w:rPr>
        <w:t xml:space="preserve">Many ESs cover </w:t>
      </w:r>
      <w:r w:rsidRPr="00735449">
        <w:rPr>
          <w:rFonts w:ascii="Arial" w:eastAsia="Times New Roman" w:hAnsi="Arial" w:cs="Arial"/>
          <w:i/>
          <w:iCs/>
          <w:lang w:eastAsia="en-GB"/>
        </w:rPr>
        <w:t>impact of project on other economic sectors, especially on tourism and fishing.</w:t>
      </w:r>
    </w:p>
    <w:p w:rsidR="00F76DC2" w:rsidRDefault="00A659B9" w:rsidP="00DD5EA6">
      <w:pPr>
        <w:numPr>
          <w:ilvl w:val="0"/>
          <w:numId w:val="4"/>
        </w:numPr>
        <w:spacing w:after="0" w:line="240" w:lineRule="auto"/>
        <w:ind w:left="360"/>
        <w:contextualSpacing/>
        <w:jc w:val="both"/>
        <w:rPr>
          <w:rFonts w:ascii="Arial" w:eastAsia="Times New Roman" w:hAnsi="Arial" w:cs="Arial"/>
          <w:lang w:eastAsia="en-GB"/>
        </w:rPr>
      </w:pPr>
      <w:r>
        <w:rPr>
          <w:rFonts w:ascii="Arial" w:eastAsia="Times New Roman" w:hAnsi="Arial" w:cs="Arial"/>
          <w:lang w:eastAsia="en-GB"/>
        </w:rPr>
        <w:lastRenderedPageBreak/>
        <w:t>R</w:t>
      </w:r>
      <w:r w:rsidR="00064CB5" w:rsidRPr="00735449">
        <w:rPr>
          <w:rFonts w:ascii="Arial" w:eastAsia="Times New Roman" w:hAnsi="Arial" w:cs="Arial"/>
          <w:lang w:eastAsia="en-GB"/>
        </w:rPr>
        <w:t xml:space="preserve">ecent ESs include good practice of an </w:t>
      </w:r>
      <w:r w:rsidR="00064CB5" w:rsidRPr="00735449">
        <w:rPr>
          <w:rFonts w:ascii="Arial" w:eastAsia="Times New Roman" w:hAnsi="Arial" w:cs="Arial"/>
          <w:i/>
          <w:iCs/>
          <w:lang w:eastAsia="en-GB"/>
        </w:rPr>
        <w:t>Employment and Skills Plan</w:t>
      </w:r>
      <w:r w:rsidR="00064CB5" w:rsidRPr="00735449">
        <w:rPr>
          <w:rFonts w:ascii="Arial" w:eastAsia="Times New Roman" w:hAnsi="Arial" w:cs="Arial"/>
          <w:lang w:eastAsia="en-GB"/>
        </w:rPr>
        <w:t>, to support effective implementation of socio-economic undertakings.</w:t>
      </w:r>
    </w:p>
    <w:p w:rsidR="00A659B9" w:rsidRPr="00735449" w:rsidRDefault="00A659B9" w:rsidP="00DD5EA6">
      <w:pPr>
        <w:spacing w:after="0" w:line="240" w:lineRule="auto"/>
        <w:ind w:left="992"/>
        <w:contextualSpacing/>
        <w:jc w:val="both"/>
        <w:rPr>
          <w:rFonts w:ascii="Arial" w:eastAsia="Times New Roman" w:hAnsi="Arial" w:cs="Arial"/>
          <w:lang w:eastAsia="en-GB"/>
        </w:rPr>
      </w:pPr>
    </w:p>
    <w:p w:rsidR="00A8580A" w:rsidRDefault="00A8580A" w:rsidP="00DD5EA6">
      <w:pPr>
        <w:spacing w:line="240" w:lineRule="auto"/>
        <w:jc w:val="both"/>
        <w:rPr>
          <w:rFonts w:ascii="Arial" w:hAnsi="Arial" w:cs="Arial"/>
          <w:b/>
          <w:sz w:val="24"/>
          <w:szCs w:val="24"/>
        </w:rPr>
      </w:pPr>
    </w:p>
    <w:p w:rsidR="00DD5EA6" w:rsidRDefault="00C212D4" w:rsidP="00DD5EA6">
      <w:pPr>
        <w:spacing w:line="240" w:lineRule="auto"/>
        <w:jc w:val="both"/>
        <w:rPr>
          <w:rFonts w:ascii="Arial" w:hAnsi="Arial" w:cs="Arial"/>
          <w:b/>
          <w:sz w:val="24"/>
          <w:szCs w:val="24"/>
        </w:rPr>
      </w:pPr>
      <w:r w:rsidRPr="00A659B9">
        <w:rPr>
          <w:rFonts w:ascii="Arial" w:hAnsi="Arial" w:cs="Arial"/>
          <w:b/>
          <w:sz w:val="24"/>
          <w:szCs w:val="24"/>
        </w:rPr>
        <w:t xml:space="preserve">Actual </w:t>
      </w:r>
      <w:r w:rsidR="00922B92">
        <w:rPr>
          <w:rFonts w:ascii="Arial" w:hAnsi="Arial" w:cs="Arial"/>
          <w:b/>
          <w:sz w:val="24"/>
          <w:szCs w:val="24"/>
        </w:rPr>
        <w:t>e</w:t>
      </w:r>
      <w:r w:rsidRPr="00A659B9">
        <w:rPr>
          <w:rFonts w:ascii="Arial" w:hAnsi="Arial" w:cs="Arial"/>
          <w:b/>
          <w:sz w:val="24"/>
          <w:szCs w:val="24"/>
        </w:rPr>
        <w:t xml:space="preserve">conomic </w:t>
      </w:r>
      <w:r w:rsidR="00922B92">
        <w:rPr>
          <w:rFonts w:ascii="Arial" w:hAnsi="Arial" w:cs="Arial"/>
          <w:b/>
          <w:sz w:val="24"/>
          <w:szCs w:val="24"/>
        </w:rPr>
        <w:t>i</w:t>
      </w:r>
      <w:r w:rsidRPr="00A659B9">
        <w:rPr>
          <w:rFonts w:ascii="Arial" w:hAnsi="Arial" w:cs="Arial"/>
          <w:b/>
          <w:sz w:val="24"/>
          <w:szCs w:val="24"/>
        </w:rPr>
        <w:t xml:space="preserve">mpacts from North Sea </w:t>
      </w:r>
      <w:r w:rsidR="00922B92">
        <w:rPr>
          <w:rFonts w:ascii="Arial" w:hAnsi="Arial" w:cs="Arial"/>
          <w:b/>
          <w:sz w:val="24"/>
          <w:szCs w:val="24"/>
        </w:rPr>
        <w:t>c</w:t>
      </w:r>
      <w:r w:rsidRPr="00A659B9">
        <w:rPr>
          <w:rFonts w:ascii="Arial" w:hAnsi="Arial" w:cs="Arial"/>
          <w:b/>
          <w:sz w:val="24"/>
          <w:szCs w:val="24"/>
        </w:rPr>
        <w:t xml:space="preserve">ase </w:t>
      </w:r>
      <w:r w:rsidR="00922B92">
        <w:rPr>
          <w:rFonts w:ascii="Arial" w:hAnsi="Arial" w:cs="Arial"/>
          <w:b/>
          <w:sz w:val="24"/>
          <w:szCs w:val="24"/>
        </w:rPr>
        <w:t>s</w:t>
      </w:r>
      <w:r w:rsidRPr="00A659B9">
        <w:rPr>
          <w:rFonts w:ascii="Arial" w:hAnsi="Arial" w:cs="Arial"/>
          <w:b/>
          <w:sz w:val="24"/>
          <w:szCs w:val="24"/>
        </w:rPr>
        <w:t>tudies</w:t>
      </w:r>
      <w:r w:rsidR="00AD0700">
        <w:rPr>
          <w:rFonts w:ascii="Arial" w:hAnsi="Arial" w:cs="Arial"/>
          <w:b/>
          <w:sz w:val="24"/>
          <w:szCs w:val="24"/>
        </w:rPr>
        <w:t xml:space="preserve"> </w:t>
      </w:r>
    </w:p>
    <w:p w:rsidR="00BD3FB2" w:rsidRPr="00AD0700" w:rsidRDefault="008421FF" w:rsidP="00DD5EA6">
      <w:pPr>
        <w:spacing w:line="240" w:lineRule="auto"/>
        <w:jc w:val="both"/>
        <w:rPr>
          <w:rFonts w:ascii="Arial" w:hAnsi="Arial" w:cs="Arial"/>
        </w:rPr>
      </w:pPr>
      <w:r w:rsidRPr="00AD0700">
        <w:rPr>
          <w:rFonts w:ascii="Arial" w:hAnsi="Arial" w:cs="Arial"/>
        </w:rPr>
        <w:t xml:space="preserve">The research includes a </w:t>
      </w:r>
      <w:r w:rsidRPr="00AD0700">
        <w:rPr>
          <w:rFonts w:ascii="Arial" w:hAnsi="Arial" w:cs="Arial"/>
          <w:i/>
        </w:rPr>
        <w:t>major case study</w:t>
      </w:r>
      <w:r w:rsidRPr="00AD0700">
        <w:rPr>
          <w:rFonts w:ascii="Arial" w:hAnsi="Arial" w:cs="Arial"/>
        </w:rPr>
        <w:t xml:space="preserve"> of the local socio-economic impacts of the construction and O&amp;M stages, from 2016 to 2019, of the Aberdeen Offshore Wind Farm. </w:t>
      </w:r>
      <w:r w:rsidR="00BD3FB2" w:rsidRPr="00AD0700">
        <w:rPr>
          <w:rFonts w:ascii="Arial" w:hAnsi="Arial" w:cs="Arial"/>
        </w:rPr>
        <w:t xml:space="preserve">This </w:t>
      </w:r>
      <w:r w:rsidRPr="00AD0700">
        <w:rPr>
          <w:rFonts w:ascii="Arial" w:hAnsi="Arial" w:cs="Arial"/>
        </w:rPr>
        <w:t>is a small (11 turbines, 96 MW</w:t>
      </w:r>
      <w:r w:rsidR="00BD3FB2" w:rsidRPr="00AD0700">
        <w:rPr>
          <w:rFonts w:ascii="Arial" w:hAnsi="Arial" w:cs="Arial"/>
        </w:rPr>
        <w:t>, £300m</w:t>
      </w:r>
      <w:r w:rsidRPr="00AD0700">
        <w:rPr>
          <w:rFonts w:ascii="Arial" w:hAnsi="Arial" w:cs="Arial"/>
        </w:rPr>
        <w:t>) but innovative project (largest 8.8MW turbines, suction bucket foundations, high wind operable). It is only 2km offshore</w:t>
      </w:r>
      <w:r w:rsidR="00BD3FB2" w:rsidRPr="00AD0700">
        <w:rPr>
          <w:rFonts w:ascii="Arial" w:hAnsi="Arial" w:cs="Arial"/>
        </w:rPr>
        <w:t xml:space="preserve"> and, as an aside, controversially abuts a Trump golf course.</w:t>
      </w:r>
      <w:r w:rsidRPr="00AD0700">
        <w:rPr>
          <w:rFonts w:ascii="Arial" w:hAnsi="Arial" w:cs="Arial"/>
        </w:rPr>
        <w:t xml:space="preserve"> </w:t>
      </w:r>
      <w:r w:rsidR="00BD3FB2" w:rsidRPr="00AD0700">
        <w:rPr>
          <w:rFonts w:ascii="Arial" w:hAnsi="Arial" w:cs="Arial"/>
        </w:rPr>
        <w:t xml:space="preserve">Two other </w:t>
      </w:r>
      <w:r w:rsidR="00BD3FB2" w:rsidRPr="00AD0700">
        <w:rPr>
          <w:rFonts w:ascii="Arial" w:hAnsi="Arial" w:cs="Arial"/>
          <w:i/>
        </w:rPr>
        <w:t xml:space="preserve">minor case studies, </w:t>
      </w:r>
      <w:r w:rsidR="00BD3FB2" w:rsidRPr="00AD0700">
        <w:rPr>
          <w:rFonts w:ascii="Arial" w:hAnsi="Arial" w:cs="Arial"/>
        </w:rPr>
        <w:t>which provide contrasts to the Aberdeen OWF, include the Beatrice OWF, a 600MW, £2.6bn project off the NE tip of Scotland, and the set of four Hornsea projects off Humberside in England. The latter will provide the largest UK cluster of offshore wind power, totalling up to 7000MW, with a</w:t>
      </w:r>
      <w:r w:rsidR="003B6483" w:rsidRPr="00AD0700">
        <w:rPr>
          <w:rFonts w:ascii="Arial" w:hAnsi="Arial" w:cs="Arial"/>
        </w:rPr>
        <w:t xml:space="preserve">n estimated </w:t>
      </w:r>
      <w:r w:rsidR="00BD3FB2" w:rsidRPr="00AD0700">
        <w:rPr>
          <w:rFonts w:ascii="Arial" w:hAnsi="Arial" w:cs="Arial"/>
        </w:rPr>
        <w:t>total investment of c£20-25bn. In addition, latterly, we have include</w:t>
      </w:r>
      <w:r w:rsidR="003B6483" w:rsidRPr="00AD0700">
        <w:rPr>
          <w:rFonts w:ascii="Arial" w:hAnsi="Arial" w:cs="Arial"/>
        </w:rPr>
        <w:t>d</w:t>
      </w:r>
      <w:r w:rsidR="00BD3FB2" w:rsidRPr="00AD0700">
        <w:rPr>
          <w:rFonts w:ascii="Arial" w:hAnsi="Arial" w:cs="Arial"/>
        </w:rPr>
        <w:t xml:space="preserve"> two small NE Scotland floating OWF projects.</w:t>
      </w:r>
    </w:p>
    <w:p w:rsidR="009207F6" w:rsidRDefault="00BD3FB2" w:rsidP="00DD5EA6">
      <w:pPr>
        <w:spacing w:after="0" w:line="240" w:lineRule="auto"/>
        <w:jc w:val="both"/>
        <w:rPr>
          <w:rFonts w:ascii="Arial" w:eastAsiaTheme="minorEastAsia" w:hAnsi="Arial" w:cs="Arial"/>
          <w:color w:val="000000" w:themeColor="text1"/>
          <w:kern w:val="24"/>
          <w:lang w:eastAsia="en-GB"/>
        </w:rPr>
      </w:pPr>
      <w:r w:rsidRPr="00AD0700">
        <w:rPr>
          <w:rFonts w:ascii="Arial" w:hAnsi="Arial" w:cs="Arial"/>
        </w:rPr>
        <w:t xml:space="preserve">The key message from the Aberdeen and other small projects is that there is a </w:t>
      </w:r>
      <w:r w:rsidR="003B6483" w:rsidRPr="00AD0700">
        <w:rPr>
          <w:rFonts w:ascii="Arial" w:hAnsi="Arial" w:cs="Arial"/>
        </w:rPr>
        <w:t>major</w:t>
      </w:r>
      <w:r w:rsidRPr="00AD0700">
        <w:rPr>
          <w:rFonts w:ascii="Arial" w:hAnsi="Arial" w:cs="Arial"/>
        </w:rPr>
        <w:t xml:space="preserve"> </w:t>
      </w:r>
      <w:r w:rsidR="00EC52D6">
        <w:rPr>
          <w:rFonts w:ascii="Arial" w:hAnsi="Arial" w:cs="Arial"/>
        </w:rPr>
        <w:t xml:space="preserve">local </w:t>
      </w:r>
      <w:r w:rsidRPr="00AD0700">
        <w:rPr>
          <w:rFonts w:ascii="Arial" w:hAnsi="Arial" w:cs="Arial"/>
        </w:rPr>
        <w:t xml:space="preserve">leakage out of the </w:t>
      </w:r>
      <w:r w:rsidR="003B6483" w:rsidRPr="00AD0700">
        <w:rPr>
          <w:rFonts w:ascii="Arial" w:hAnsi="Arial" w:cs="Arial"/>
        </w:rPr>
        <w:t xml:space="preserve">substantial investments, especially of the main offshore construction works. For the Aberdeen project, </w:t>
      </w:r>
      <w:r w:rsidR="00134B65" w:rsidRPr="00AD0700">
        <w:rPr>
          <w:rFonts w:ascii="Arial" w:hAnsi="Arial" w:cs="Arial"/>
        </w:rPr>
        <w:t>a</w:t>
      </w:r>
      <w:r w:rsidR="00EC52D6">
        <w:rPr>
          <w:rFonts w:ascii="Arial" w:hAnsi="Arial" w:cs="Arial"/>
        </w:rPr>
        <w:t xml:space="preserve">n initial </w:t>
      </w:r>
      <w:r w:rsidR="00134B65" w:rsidRPr="00AD0700">
        <w:rPr>
          <w:rFonts w:ascii="Arial" w:hAnsi="Arial" w:cs="Arial"/>
        </w:rPr>
        <w:t xml:space="preserve">tracking of contracts </w:t>
      </w:r>
      <w:r w:rsidR="003B6483" w:rsidRPr="00AD0700">
        <w:rPr>
          <w:rFonts w:ascii="Arial" w:hAnsi="Arial" w:cs="Arial"/>
        </w:rPr>
        <w:t>indicate</w:t>
      </w:r>
      <w:r w:rsidR="00134B65" w:rsidRPr="00AD0700">
        <w:rPr>
          <w:rFonts w:ascii="Arial" w:hAnsi="Arial" w:cs="Arial"/>
        </w:rPr>
        <w:t>s</w:t>
      </w:r>
      <w:r w:rsidR="003B6483" w:rsidRPr="00AD0700">
        <w:rPr>
          <w:rFonts w:ascii="Arial" w:hAnsi="Arial" w:cs="Arial"/>
        </w:rPr>
        <w:t xml:space="preserve"> about 25% of the investment is UK</w:t>
      </w:r>
      <w:r w:rsidR="00134B65" w:rsidRPr="00AD0700">
        <w:rPr>
          <w:rFonts w:ascii="Arial" w:hAnsi="Arial" w:cs="Arial"/>
        </w:rPr>
        <w:t>-</w:t>
      </w:r>
      <w:r w:rsidR="003B6483" w:rsidRPr="00AD0700">
        <w:rPr>
          <w:rFonts w:ascii="Arial" w:hAnsi="Arial" w:cs="Arial"/>
        </w:rPr>
        <w:t>based, 2% is from Scotland, and 1% is from the Aberdeenshire local area.</w:t>
      </w:r>
      <w:r w:rsidR="00052784">
        <w:rPr>
          <w:rFonts w:ascii="Arial" w:hAnsi="Arial" w:cs="Arial"/>
        </w:rPr>
        <w:t xml:space="preserve"> This was less than predicted in the ES.</w:t>
      </w:r>
      <w:r w:rsidR="003B6483" w:rsidRPr="00AD0700">
        <w:rPr>
          <w:rFonts w:ascii="Arial" w:hAnsi="Arial" w:cs="Arial"/>
        </w:rPr>
        <w:t xml:space="preserve"> At </w:t>
      </w:r>
      <w:r w:rsidR="003B6483" w:rsidRPr="00AD0700">
        <w:rPr>
          <w:rFonts w:ascii="Arial" w:eastAsiaTheme="minorEastAsia" w:hAnsi="Arial" w:cs="Arial"/>
          <w:color w:val="000000" w:themeColor="text1"/>
          <w:kern w:val="24"/>
          <w:lang w:eastAsia="en-GB"/>
        </w:rPr>
        <w:t xml:space="preserve">peak construction, the Aberdeen project employed c500 </w:t>
      </w:r>
      <w:r w:rsidR="00134B65" w:rsidRPr="00AD0700">
        <w:rPr>
          <w:rFonts w:ascii="Arial" w:eastAsiaTheme="minorEastAsia" w:hAnsi="Arial" w:cs="Arial"/>
          <w:color w:val="000000" w:themeColor="text1"/>
          <w:kern w:val="24"/>
          <w:lang w:eastAsia="en-GB"/>
        </w:rPr>
        <w:t xml:space="preserve">people </w:t>
      </w:r>
      <w:r w:rsidR="003B6483" w:rsidRPr="00AD0700">
        <w:rPr>
          <w:rFonts w:ascii="Arial" w:eastAsiaTheme="minorEastAsia" w:hAnsi="Arial" w:cs="Arial"/>
          <w:color w:val="000000" w:themeColor="text1"/>
          <w:kern w:val="24"/>
          <w:lang w:eastAsia="en-GB"/>
        </w:rPr>
        <w:t>on installation vessels, with 15 nationalities:  Europeans (80%), British (10%) and other (10%). For such a small project, with a short construction period</w:t>
      </w:r>
      <w:r w:rsidR="00134B65" w:rsidRPr="00AD0700">
        <w:rPr>
          <w:rFonts w:ascii="Arial" w:eastAsiaTheme="minorEastAsia" w:hAnsi="Arial" w:cs="Arial"/>
          <w:color w:val="000000" w:themeColor="text1"/>
          <w:kern w:val="24"/>
          <w:lang w:eastAsia="en-GB"/>
        </w:rPr>
        <w:t xml:space="preserve"> (around 1.5 years)</w:t>
      </w:r>
      <w:r w:rsidR="003B6483" w:rsidRPr="00AD0700">
        <w:rPr>
          <w:rFonts w:ascii="Arial" w:eastAsiaTheme="minorEastAsia" w:hAnsi="Arial" w:cs="Arial"/>
          <w:color w:val="000000" w:themeColor="text1"/>
          <w:kern w:val="24"/>
          <w:lang w:eastAsia="en-GB"/>
        </w:rPr>
        <w:t xml:space="preserve">, the main personnel come from established companies, mostly outside Scotland. However, the research </w:t>
      </w:r>
      <w:r w:rsidR="00134B65" w:rsidRPr="00AD0700">
        <w:rPr>
          <w:rFonts w:ascii="Arial" w:eastAsiaTheme="minorEastAsia" w:hAnsi="Arial" w:cs="Arial"/>
          <w:color w:val="000000" w:themeColor="text1"/>
          <w:kern w:val="24"/>
          <w:lang w:eastAsia="en-GB"/>
        </w:rPr>
        <w:t xml:space="preserve">also </w:t>
      </w:r>
      <w:r w:rsidR="003B6483" w:rsidRPr="00AD0700">
        <w:rPr>
          <w:rFonts w:ascii="Arial" w:eastAsiaTheme="minorEastAsia" w:hAnsi="Arial" w:cs="Arial"/>
          <w:color w:val="000000" w:themeColor="text1"/>
          <w:kern w:val="24"/>
          <w:lang w:eastAsia="en-GB"/>
        </w:rPr>
        <w:t xml:space="preserve">highlighted the </w:t>
      </w:r>
      <w:r w:rsidR="00134B65" w:rsidRPr="00AD0700">
        <w:rPr>
          <w:rFonts w:ascii="Arial" w:eastAsiaTheme="minorEastAsia" w:hAnsi="Arial" w:cs="Arial"/>
          <w:color w:val="000000" w:themeColor="text1"/>
          <w:kern w:val="24"/>
          <w:lang w:eastAsia="en-GB"/>
        </w:rPr>
        <w:t xml:space="preserve">greater </w:t>
      </w:r>
      <w:r w:rsidR="003B6483" w:rsidRPr="00AD0700">
        <w:rPr>
          <w:rFonts w:ascii="Arial" w:eastAsiaTheme="minorEastAsia" w:hAnsi="Arial" w:cs="Arial"/>
          <w:color w:val="000000" w:themeColor="text1"/>
          <w:kern w:val="24"/>
          <w:lang w:eastAsia="en-GB"/>
        </w:rPr>
        <w:t xml:space="preserve">local </w:t>
      </w:r>
      <w:r w:rsidR="00134B65" w:rsidRPr="00AD0700">
        <w:rPr>
          <w:rFonts w:ascii="Arial" w:eastAsiaTheme="minorEastAsia" w:hAnsi="Arial" w:cs="Arial"/>
          <w:color w:val="000000" w:themeColor="text1"/>
          <w:kern w:val="24"/>
          <w:lang w:eastAsia="en-GB"/>
        </w:rPr>
        <w:t xml:space="preserve">economic </w:t>
      </w:r>
      <w:r w:rsidR="003B6483" w:rsidRPr="00AD0700">
        <w:rPr>
          <w:rFonts w:ascii="Arial" w:eastAsiaTheme="minorEastAsia" w:hAnsi="Arial" w:cs="Arial"/>
          <w:color w:val="000000" w:themeColor="text1"/>
          <w:kern w:val="24"/>
          <w:lang w:eastAsia="en-GB"/>
        </w:rPr>
        <w:t>significance of the onshore construction works</w:t>
      </w:r>
      <w:r w:rsidR="00134B65" w:rsidRPr="00AD0700">
        <w:rPr>
          <w:rFonts w:ascii="Arial" w:eastAsiaTheme="minorEastAsia" w:hAnsi="Arial" w:cs="Arial"/>
          <w:color w:val="000000" w:themeColor="text1"/>
          <w:kern w:val="24"/>
          <w:lang w:eastAsia="en-GB"/>
        </w:rPr>
        <w:t>, and the more long-term (20 years)</w:t>
      </w:r>
      <w:r w:rsidR="003B6483" w:rsidRPr="00AD0700">
        <w:rPr>
          <w:rFonts w:ascii="Arial" w:eastAsiaTheme="minorEastAsia" w:hAnsi="Arial" w:cs="Arial"/>
          <w:color w:val="000000" w:themeColor="text1"/>
          <w:kern w:val="24"/>
          <w:lang w:eastAsia="en-GB"/>
        </w:rPr>
        <w:t xml:space="preserve"> </w:t>
      </w:r>
      <w:r w:rsidR="00134B65" w:rsidRPr="00AD0700">
        <w:rPr>
          <w:rFonts w:ascii="Arial" w:eastAsiaTheme="minorEastAsia" w:hAnsi="Arial" w:cs="Arial"/>
          <w:color w:val="000000" w:themeColor="text1"/>
          <w:kern w:val="24"/>
          <w:lang w:eastAsia="en-GB"/>
        </w:rPr>
        <w:t xml:space="preserve">O&amp;M stage. About 33% of the onshore works expenditure was local, as was </w:t>
      </w:r>
      <w:r w:rsidR="009207F6">
        <w:rPr>
          <w:rFonts w:ascii="Arial" w:eastAsiaTheme="minorEastAsia" w:hAnsi="Arial" w:cs="Arial"/>
          <w:color w:val="000000" w:themeColor="text1"/>
          <w:kern w:val="24"/>
          <w:lang w:eastAsia="en-GB"/>
        </w:rPr>
        <w:t>c</w:t>
      </w:r>
      <w:r w:rsidR="00134B65" w:rsidRPr="00AD0700">
        <w:rPr>
          <w:rFonts w:ascii="Arial" w:eastAsiaTheme="minorEastAsia" w:hAnsi="Arial" w:cs="Arial"/>
          <w:color w:val="000000" w:themeColor="text1"/>
          <w:kern w:val="24"/>
          <w:lang w:eastAsia="en-GB"/>
        </w:rPr>
        <w:t xml:space="preserve">60% of the workforce. The figures are </w:t>
      </w:r>
      <w:r w:rsidR="009207F6">
        <w:rPr>
          <w:rFonts w:ascii="Arial" w:eastAsiaTheme="minorEastAsia" w:hAnsi="Arial" w:cs="Arial"/>
          <w:color w:val="000000" w:themeColor="text1"/>
          <w:kern w:val="24"/>
          <w:lang w:eastAsia="en-GB"/>
        </w:rPr>
        <w:t xml:space="preserve">higher </w:t>
      </w:r>
      <w:r w:rsidR="00134B65" w:rsidRPr="00AD0700">
        <w:rPr>
          <w:rFonts w:ascii="Arial" w:eastAsiaTheme="minorEastAsia" w:hAnsi="Arial" w:cs="Arial"/>
          <w:color w:val="000000" w:themeColor="text1"/>
          <w:kern w:val="24"/>
          <w:lang w:eastAsia="en-GB"/>
        </w:rPr>
        <w:t>for the O&amp;M stage economic impacts</w:t>
      </w:r>
      <w:r w:rsidR="009207F6">
        <w:rPr>
          <w:rFonts w:ascii="Arial" w:eastAsiaTheme="minorEastAsia" w:hAnsi="Arial" w:cs="Arial"/>
          <w:color w:val="000000" w:themeColor="text1"/>
          <w:kern w:val="24"/>
          <w:lang w:eastAsia="en-GB"/>
        </w:rPr>
        <w:t xml:space="preserve"> --</w:t>
      </w:r>
      <w:r w:rsidR="00052784">
        <w:rPr>
          <w:rFonts w:ascii="Arial" w:eastAsiaTheme="minorEastAsia" w:hAnsi="Arial" w:cs="Arial"/>
          <w:color w:val="000000" w:themeColor="text1"/>
          <w:kern w:val="24"/>
          <w:lang w:eastAsia="en-GB"/>
        </w:rPr>
        <w:t xml:space="preserve"> similar to the ES predictions.</w:t>
      </w:r>
      <w:r w:rsidR="00134B65" w:rsidRPr="00AD0700">
        <w:rPr>
          <w:rFonts w:ascii="Arial" w:eastAsiaTheme="minorEastAsia" w:hAnsi="Arial" w:cs="Arial"/>
          <w:color w:val="000000" w:themeColor="text1"/>
          <w:kern w:val="24"/>
          <w:lang w:eastAsia="en-GB"/>
        </w:rPr>
        <w:t xml:space="preserve"> The Aberdeen and Beatrice projects have </w:t>
      </w:r>
      <w:r w:rsidR="009D726A" w:rsidRPr="00AD0700">
        <w:rPr>
          <w:rFonts w:ascii="Arial" w:eastAsiaTheme="minorEastAsia" w:hAnsi="Arial" w:cs="Arial"/>
          <w:color w:val="000000" w:themeColor="text1"/>
          <w:kern w:val="24"/>
          <w:lang w:eastAsia="en-GB"/>
        </w:rPr>
        <w:t xml:space="preserve">also </w:t>
      </w:r>
      <w:r w:rsidR="00134B65" w:rsidRPr="00AD0700">
        <w:rPr>
          <w:rFonts w:ascii="Arial" w:eastAsiaTheme="minorEastAsia" w:hAnsi="Arial" w:cs="Arial"/>
          <w:color w:val="000000" w:themeColor="text1"/>
          <w:kern w:val="24"/>
          <w:lang w:eastAsia="en-GB"/>
        </w:rPr>
        <w:t>led to the regeneration of small ports, with associated benefits for other coastal industries</w:t>
      </w:r>
      <w:r w:rsidR="009207F6">
        <w:rPr>
          <w:rFonts w:ascii="Arial" w:eastAsiaTheme="minorEastAsia" w:hAnsi="Arial" w:cs="Arial"/>
          <w:color w:val="000000" w:themeColor="text1"/>
          <w:kern w:val="24"/>
          <w:lang w:eastAsia="en-GB"/>
        </w:rPr>
        <w:t>.</w:t>
      </w:r>
    </w:p>
    <w:p w:rsidR="00052784" w:rsidRDefault="009207F6" w:rsidP="00DD5EA6">
      <w:pPr>
        <w:spacing w:after="0" w:line="240" w:lineRule="auto"/>
        <w:jc w:val="both"/>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eastAsia="en-GB"/>
        </w:rPr>
        <w:t xml:space="preserve"> </w:t>
      </w:r>
    </w:p>
    <w:p w:rsidR="00052784" w:rsidRPr="00AD0700" w:rsidRDefault="00052784" w:rsidP="00DD5EA6">
      <w:pPr>
        <w:pStyle w:val="NoSpacing"/>
        <w:jc w:val="both"/>
        <w:rPr>
          <w:rFonts w:ascii="Arial" w:hAnsi="Arial" w:cs="Arial"/>
        </w:rPr>
      </w:pPr>
      <w:r w:rsidRPr="00AD0700">
        <w:rPr>
          <w:rFonts w:ascii="Arial" w:eastAsiaTheme="minorEastAsia" w:hAnsi="Arial" w:cs="Arial"/>
          <w:color w:val="000000" w:themeColor="text1"/>
          <w:kern w:val="24"/>
          <w:lang w:eastAsia="en-GB"/>
        </w:rPr>
        <w:t xml:space="preserve">The Hornsea projects (Figure 3) present a very different scale of coastal </w:t>
      </w:r>
      <w:r w:rsidRPr="00EC52D6">
        <w:rPr>
          <w:rFonts w:ascii="Arial" w:eastAsiaTheme="minorEastAsia" w:hAnsi="Arial" w:cs="Arial"/>
          <w:color w:val="000000" w:themeColor="text1"/>
          <w:kern w:val="24"/>
          <w:lang w:eastAsia="en-GB"/>
        </w:rPr>
        <w:t>socio-economic impacts</w:t>
      </w:r>
      <w:r w:rsidRPr="00AD0700">
        <w:rPr>
          <w:rFonts w:ascii="Arial" w:eastAsiaTheme="minorEastAsia" w:hAnsi="Arial" w:cs="Arial"/>
          <w:color w:val="000000" w:themeColor="text1"/>
          <w:kern w:val="24"/>
          <w:lang w:eastAsia="en-GB"/>
        </w:rPr>
        <w:t>. They lie about 80-120 km offshore.</w:t>
      </w:r>
      <w:r w:rsidRPr="00AD0700">
        <w:rPr>
          <w:rFonts w:ascii="Arial" w:hAnsi="Arial" w:cs="Arial"/>
        </w:rPr>
        <w:t xml:space="preserve"> </w:t>
      </w:r>
      <w:r w:rsidR="009207F6">
        <w:rPr>
          <w:rFonts w:ascii="Arial" w:hAnsi="Arial" w:cs="Arial"/>
        </w:rPr>
        <w:t>W</w:t>
      </w:r>
      <w:r w:rsidRPr="00AD0700">
        <w:rPr>
          <w:rFonts w:ascii="Arial" w:hAnsi="Arial" w:cs="Arial"/>
        </w:rPr>
        <w:t xml:space="preserve">hen fully developed, they will constitute one of the largest clusters of OWF energy worldwide, with up to 900 large turbines, and around 7GW of power. </w:t>
      </w:r>
      <w:r w:rsidR="009207F6">
        <w:rPr>
          <w:rFonts w:ascii="Arial" w:hAnsi="Arial" w:cs="Arial"/>
        </w:rPr>
        <w:t>T</w:t>
      </w:r>
      <w:r w:rsidRPr="00AD0700">
        <w:rPr>
          <w:rFonts w:ascii="Arial" w:hAnsi="Arial" w:cs="Arial"/>
        </w:rPr>
        <w:t xml:space="preserve">hey also lie off a major port and industrialized coast, including the ports of Hull, Grimsby and Immingham. As such, the Hornsea case study provides an example of offshore wind farm development on a large scale, with the potential for substantial supply chain development, and associated production initiatives. Cumulatively the projects provide a set of overlapping socio-economic impacts, with the medium scenarios for projects 1 and 2 averaging about 1000 local construction jobs pa, and project 3 double that number. Similarly, the O&amp;M stage is very significant cumulatively, with over 1000 jobs pa over much of the combined project life cycles. </w:t>
      </w:r>
    </w:p>
    <w:p w:rsidR="00052784" w:rsidRPr="00AD0700" w:rsidRDefault="00052784" w:rsidP="00DD5EA6">
      <w:pPr>
        <w:pStyle w:val="NoSpacing"/>
        <w:jc w:val="both"/>
        <w:rPr>
          <w:rFonts w:ascii="Arial" w:hAnsi="Arial" w:cs="Arial"/>
        </w:rPr>
      </w:pPr>
    </w:p>
    <w:p w:rsidR="00AD0700" w:rsidRDefault="003F79BD" w:rsidP="00DD5EA6">
      <w:pPr>
        <w:spacing w:after="0" w:line="240" w:lineRule="auto"/>
        <w:jc w:val="both"/>
        <w:rPr>
          <w:rFonts w:ascii="Arial" w:eastAsiaTheme="minorEastAsia" w:hAnsi="Arial" w:cs="Arial"/>
          <w:color w:val="000000" w:themeColor="text1"/>
          <w:kern w:val="24"/>
          <w:lang w:eastAsia="en-GB"/>
        </w:rPr>
      </w:pPr>
      <w:r w:rsidRPr="003F79BD">
        <w:rPr>
          <w:rFonts w:ascii="Arial" w:eastAsiaTheme="minorEastAsia" w:hAnsi="Arial" w:cs="Arial"/>
          <w:b/>
          <w:color w:val="000000" w:themeColor="text1"/>
          <w:kern w:val="24"/>
          <w:lang w:eastAsia="en-GB"/>
        </w:rPr>
        <w:t>Figure 3</w:t>
      </w:r>
      <w:r>
        <w:rPr>
          <w:rFonts w:ascii="Arial" w:eastAsiaTheme="minorEastAsia" w:hAnsi="Arial" w:cs="Arial"/>
          <w:color w:val="000000" w:themeColor="text1"/>
          <w:kern w:val="24"/>
          <w:lang w:eastAsia="en-GB"/>
        </w:rPr>
        <w:t>: Hornsea OWF projects</w:t>
      </w:r>
    </w:p>
    <w:p w:rsidR="00052784" w:rsidRPr="003B6483" w:rsidRDefault="00052784" w:rsidP="00DD5EA6">
      <w:pPr>
        <w:spacing w:after="0" w:line="240" w:lineRule="auto"/>
        <w:jc w:val="both"/>
        <w:rPr>
          <w:rFonts w:ascii="Arial" w:eastAsia="Times New Roman" w:hAnsi="Arial" w:cs="Arial"/>
          <w:lang w:eastAsia="en-GB"/>
        </w:rPr>
      </w:pPr>
    </w:p>
    <w:p w:rsidR="00A659B9" w:rsidRDefault="003F79BD" w:rsidP="00DD5EA6">
      <w:pPr>
        <w:spacing w:line="240" w:lineRule="auto"/>
        <w:jc w:val="both"/>
        <w:rPr>
          <w:rFonts w:ascii="Arial" w:hAnsi="Arial" w:cs="Arial"/>
          <w:b/>
          <w:sz w:val="24"/>
          <w:szCs w:val="24"/>
        </w:rPr>
      </w:pPr>
      <w:r>
        <w:rPr>
          <w:noProof/>
          <w:lang w:eastAsia="en-GB"/>
        </w:rPr>
        <w:drawing>
          <wp:inline distT="0" distB="0" distL="0" distR="0" wp14:anchorId="71FEC4A4" wp14:editId="5F7BD41C">
            <wp:extent cx="3504412" cy="2270760"/>
            <wp:effectExtent l="0" t="0" r="1270" b="0"/>
            <wp:docPr id="6" name="Picture 6" descr="Image result for Photos of Hornsea 1 Offshore Wind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Photos of Hornsea 1 Offshore Wind Fa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161" cy="2290685"/>
                    </a:xfrm>
                    <a:prstGeom prst="rect">
                      <a:avLst/>
                    </a:prstGeom>
                    <a:noFill/>
                    <a:extLst/>
                  </pic:spPr>
                </pic:pic>
              </a:graphicData>
            </a:graphic>
          </wp:inline>
        </w:drawing>
      </w:r>
    </w:p>
    <w:p w:rsidR="00A85CF0" w:rsidRPr="00F855DD" w:rsidRDefault="00A85CF0" w:rsidP="00A85CF0">
      <w:pPr>
        <w:pStyle w:val="BalloonText"/>
        <w:jc w:val="both"/>
        <w:rPr>
          <w:rFonts w:ascii="Arial" w:hAnsi="Arial" w:cs="Arial"/>
          <w:b/>
          <w:sz w:val="22"/>
          <w:szCs w:val="22"/>
        </w:rPr>
      </w:pPr>
      <w:r w:rsidRPr="00AD0700">
        <w:rPr>
          <w:rFonts w:ascii="Arial" w:hAnsi="Arial" w:cs="Arial"/>
          <w:sz w:val="22"/>
          <w:szCs w:val="22"/>
        </w:rPr>
        <w:lastRenderedPageBreak/>
        <w:t xml:space="preserve">The Hornsea projects indicate the strengths of a pipeline of projects for substantial local and regional socio-economic impact. </w:t>
      </w:r>
      <w:r w:rsidRPr="00AD0700">
        <w:rPr>
          <w:rFonts w:ascii="Arial" w:hAnsi="Arial" w:cs="Arial"/>
          <w:noProof/>
          <w:sz w:val="22"/>
          <w:szCs w:val="22"/>
          <w:lang w:eastAsia="en-GB"/>
        </w:rPr>
        <w:t>Examples of inward investment include: Siemen’s £310m turbine factory in Hull with</w:t>
      </w:r>
      <w:r>
        <w:rPr>
          <w:rFonts w:ascii="Arial" w:hAnsi="Arial" w:cs="Arial"/>
          <w:noProof/>
          <w:sz w:val="22"/>
          <w:szCs w:val="22"/>
          <w:lang w:eastAsia="en-GB"/>
        </w:rPr>
        <w:t xml:space="preserve"> </w:t>
      </w:r>
      <w:r w:rsidRPr="00AD0700">
        <w:rPr>
          <w:rFonts w:ascii="Arial" w:hAnsi="Arial" w:cs="Arial"/>
          <w:noProof/>
          <w:sz w:val="22"/>
          <w:szCs w:val="22"/>
          <w:lang w:eastAsia="en-GB"/>
        </w:rPr>
        <w:t>1100  direct jobs, the Able Marine Energy Park,</w:t>
      </w:r>
      <w:r w:rsidRPr="00AD0700">
        <w:rPr>
          <w:rFonts w:ascii="Arial" w:hAnsi="Arial" w:cs="Arial"/>
          <w:color w:val="58595B"/>
          <w:sz w:val="22"/>
          <w:szCs w:val="22"/>
          <w:shd w:val="clear" w:color="auto" w:fill="FFFFFF"/>
        </w:rPr>
        <w:t xml:space="preserve"> </w:t>
      </w:r>
      <w:r w:rsidRPr="00AD0700">
        <w:rPr>
          <w:rFonts w:ascii="Arial" w:hAnsi="Arial" w:cs="Arial"/>
          <w:sz w:val="22"/>
          <w:szCs w:val="22"/>
          <w:shd w:val="clear" w:color="auto" w:fill="FFFFFF"/>
        </w:rPr>
        <w:t>a bespoke £450m Humber port facility for the renewable energy sector</w:t>
      </w:r>
      <w:r>
        <w:rPr>
          <w:rFonts w:ascii="Arial" w:hAnsi="Arial" w:cs="Arial"/>
          <w:sz w:val="22"/>
          <w:szCs w:val="22"/>
          <w:shd w:val="clear" w:color="auto" w:fill="FFFFFF"/>
        </w:rPr>
        <w:t xml:space="preserve">, and </w:t>
      </w:r>
      <w:r w:rsidRPr="00AD0700">
        <w:rPr>
          <w:rFonts w:ascii="Arial" w:hAnsi="Arial" w:cs="Arial"/>
          <w:sz w:val="22"/>
          <w:szCs w:val="22"/>
          <w:shd w:val="clear" w:color="auto" w:fill="FFFFFF"/>
        </w:rPr>
        <w:t xml:space="preserve">Orsted £200m </w:t>
      </w:r>
      <w:r w:rsidRPr="00AD0700">
        <w:rPr>
          <w:rFonts w:ascii="Arial" w:hAnsi="Arial" w:cs="Arial"/>
          <w:noProof/>
          <w:sz w:val="22"/>
          <w:szCs w:val="22"/>
          <w:lang w:eastAsia="en-GB"/>
        </w:rPr>
        <w:t>OWF O&amp;M servicing base in Grimsby Docks</w:t>
      </w:r>
      <w:r>
        <w:rPr>
          <w:rFonts w:ascii="Arial" w:hAnsi="Arial" w:cs="Arial"/>
          <w:noProof/>
          <w:sz w:val="22"/>
          <w:szCs w:val="22"/>
          <w:lang w:eastAsia="en-GB"/>
        </w:rPr>
        <w:t xml:space="preserve">, </w:t>
      </w:r>
      <w:r w:rsidRPr="00F855DD">
        <w:rPr>
          <w:rFonts w:ascii="Arial" w:hAnsi="Arial" w:cs="Arial"/>
          <w:noProof/>
          <w:sz w:val="22"/>
          <w:szCs w:val="22"/>
          <w:lang w:eastAsia="en-GB"/>
        </w:rPr>
        <w:t xml:space="preserve">which became operational in Spring 2018, creating a further 200 jobs. </w:t>
      </w:r>
      <w:r>
        <w:rPr>
          <w:rFonts w:ascii="Arial" w:hAnsi="Arial" w:cs="Arial"/>
          <w:noProof/>
          <w:sz w:val="22"/>
          <w:szCs w:val="22"/>
          <w:lang w:eastAsia="en-GB"/>
        </w:rPr>
        <w:t>Cumulatively</w:t>
      </w:r>
      <w:r w:rsidRPr="00F855DD">
        <w:rPr>
          <w:rFonts w:ascii="Arial" w:hAnsi="Arial" w:cs="Arial"/>
          <w:noProof/>
          <w:sz w:val="22"/>
          <w:szCs w:val="22"/>
          <w:lang w:eastAsia="en-GB"/>
        </w:rPr>
        <w:t>, the OWF developments and onshore investments all enhance the identification of the Humber as a major OWF hub.</w:t>
      </w:r>
    </w:p>
    <w:p w:rsidR="00A85CF0" w:rsidRDefault="00A85CF0" w:rsidP="00A85CF0">
      <w:pPr>
        <w:pStyle w:val="BalloonText"/>
        <w:jc w:val="both"/>
        <w:rPr>
          <w:rFonts w:ascii="Arial" w:eastAsiaTheme="minorEastAsia" w:hAnsi="Arial" w:cs="Arial"/>
          <w:color w:val="000000" w:themeColor="text1"/>
          <w:kern w:val="24"/>
          <w:lang w:eastAsia="en-GB"/>
        </w:rPr>
      </w:pPr>
    </w:p>
    <w:p w:rsidR="00C212D4" w:rsidRDefault="00C212D4" w:rsidP="00DD5EA6">
      <w:pPr>
        <w:spacing w:line="240" w:lineRule="auto"/>
        <w:rPr>
          <w:rFonts w:ascii="Arial" w:hAnsi="Arial" w:cs="Arial"/>
          <w:b/>
          <w:sz w:val="24"/>
          <w:szCs w:val="24"/>
        </w:rPr>
      </w:pPr>
      <w:r w:rsidRPr="00A659B9">
        <w:rPr>
          <w:rFonts w:ascii="Arial" w:hAnsi="Arial" w:cs="Arial"/>
          <w:b/>
          <w:sz w:val="24"/>
          <w:szCs w:val="24"/>
        </w:rPr>
        <w:t xml:space="preserve">Actual </w:t>
      </w:r>
      <w:r w:rsidR="00922B92">
        <w:rPr>
          <w:rFonts w:ascii="Arial" w:hAnsi="Arial" w:cs="Arial"/>
          <w:b/>
          <w:sz w:val="24"/>
          <w:szCs w:val="24"/>
        </w:rPr>
        <w:t>s</w:t>
      </w:r>
      <w:r w:rsidRPr="00A659B9">
        <w:rPr>
          <w:rFonts w:ascii="Arial" w:hAnsi="Arial" w:cs="Arial"/>
          <w:b/>
          <w:sz w:val="24"/>
          <w:szCs w:val="24"/>
        </w:rPr>
        <w:t xml:space="preserve">ocial </w:t>
      </w:r>
      <w:r w:rsidR="00922B92">
        <w:rPr>
          <w:rFonts w:ascii="Arial" w:hAnsi="Arial" w:cs="Arial"/>
          <w:b/>
          <w:sz w:val="24"/>
          <w:szCs w:val="24"/>
        </w:rPr>
        <w:t>i</w:t>
      </w:r>
      <w:r w:rsidRPr="00A659B9">
        <w:rPr>
          <w:rFonts w:ascii="Arial" w:hAnsi="Arial" w:cs="Arial"/>
          <w:b/>
          <w:sz w:val="24"/>
          <w:szCs w:val="24"/>
        </w:rPr>
        <w:t xml:space="preserve">mpacts </w:t>
      </w:r>
    </w:p>
    <w:p w:rsidR="00052784" w:rsidRDefault="00052784" w:rsidP="00DD5EA6">
      <w:pPr>
        <w:spacing w:after="0" w:line="240" w:lineRule="auto"/>
        <w:jc w:val="both"/>
        <w:rPr>
          <w:rFonts w:eastAsiaTheme="minorEastAsia" w:hAnsi="Arial"/>
          <w:color w:val="000000" w:themeColor="text1"/>
          <w:kern w:val="24"/>
          <w:lang w:val="en-US" w:eastAsia="en-GB"/>
        </w:rPr>
      </w:pPr>
      <w:r w:rsidRPr="00052784">
        <w:rPr>
          <w:rFonts w:ascii="Arial" w:hAnsi="Arial" w:cs="Arial"/>
        </w:rPr>
        <w:t>The focus is on the detailed assessment of actual social impacts over the lifecycle of the Aberdeen OWF</w:t>
      </w:r>
      <w:r w:rsidRPr="00052784">
        <w:rPr>
          <w:rFonts w:ascii="Arial" w:hAnsi="Arial" w:cs="Arial"/>
          <w:b/>
        </w:rPr>
        <w:t xml:space="preserve">. </w:t>
      </w:r>
      <w:r w:rsidRPr="00052784">
        <w:rPr>
          <w:rFonts w:ascii="Arial" w:hAnsi="Arial" w:cs="Arial"/>
        </w:rPr>
        <w:t>The</w:t>
      </w:r>
      <w:r w:rsidR="008728DC">
        <w:rPr>
          <w:rFonts w:ascii="Arial" w:hAnsi="Arial" w:cs="Arial"/>
        </w:rPr>
        <w:t xml:space="preserve"> </w:t>
      </w:r>
      <w:r w:rsidRPr="00052784">
        <w:rPr>
          <w:rFonts w:ascii="Arial" w:eastAsiaTheme="minorEastAsia" w:hAnsi="Arial" w:cs="Arial"/>
          <w:iCs/>
          <w:color w:val="000000" w:themeColor="text1"/>
          <w:kern w:val="24"/>
          <w:lang w:eastAsia="en-GB"/>
        </w:rPr>
        <w:t xml:space="preserve">content in the ES </w:t>
      </w:r>
      <w:r w:rsidR="008728DC">
        <w:rPr>
          <w:rFonts w:ascii="Arial" w:eastAsiaTheme="minorEastAsia" w:hAnsi="Arial" w:cs="Arial"/>
          <w:iCs/>
          <w:color w:val="000000" w:themeColor="text1"/>
          <w:kern w:val="24"/>
          <w:lang w:eastAsia="en-GB"/>
        </w:rPr>
        <w:t xml:space="preserve">had only limited coverage of </w:t>
      </w:r>
      <w:r w:rsidRPr="00052784">
        <w:rPr>
          <w:rFonts w:ascii="Arial" w:eastAsiaTheme="minorEastAsia" w:hAnsi="Arial" w:cs="Arial"/>
          <w:color w:val="000000" w:themeColor="text1"/>
          <w:kern w:val="24"/>
          <w:lang w:val="en-US" w:eastAsia="en-GB"/>
        </w:rPr>
        <w:t xml:space="preserve">visual effects on landscape and seascape, and effects on local coastal recreation activities, </w:t>
      </w:r>
      <w:r>
        <w:rPr>
          <w:rFonts w:ascii="Arial" w:eastAsiaTheme="minorEastAsia" w:hAnsi="Arial" w:cs="Arial"/>
          <w:color w:val="000000" w:themeColor="text1"/>
          <w:kern w:val="24"/>
          <w:lang w:val="en-US" w:eastAsia="en-GB"/>
        </w:rPr>
        <w:t xml:space="preserve">all seen </w:t>
      </w:r>
      <w:r w:rsidRPr="00052784">
        <w:rPr>
          <w:rFonts w:ascii="Arial" w:eastAsiaTheme="minorEastAsia" w:hAnsi="Arial" w:cs="Arial"/>
          <w:color w:val="000000" w:themeColor="text1"/>
          <w:kern w:val="24"/>
          <w:lang w:val="en-US" w:eastAsia="en-GB"/>
        </w:rPr>
        <w:t xml:space="preserve">as </w:t>
      </w:r>
      <w:r>
        <w:rPr>
          <w:rFonts w:ascii="Arial" w:eastAsiaTheme="minorEastAsia" w:hAnsi="Arial" w:cs="Arial"/>
          <w:color w:val="000000" w:themeColor="text1"/>
          <w:kern w:val="24"/>
          <w:lang w:val="en-US" w:eastAsia="en-GB"/>
        </w:rPr>
        <w:t xml:space="preserve">of </w:t>
      </w:r>
      <w:r w:rsidRPr="00052784">
        <w:rPr>
          <w:rFonts w:ascii="Arial" w:eastAsiaTheme="minorEastAsia" w:hAnsi="Arial" w:cs="Arial"/>
          <w:color w:val="000000" w:themeColor="text1"/>
          <w:kern w:val="24"/>
          <w:lang w:val="en-US" w:eastAsia="en-GB"/>
        </w:rPr>
        <w:t>negligible significance.</w:t>
      </w:r>
      <w:r w:rsidR="008728DC">
        <w:rPr>
          <w:rFonts w:ascii="Arial" w:eastAsiaTheme="minorEastAsia" w:hAnsi="Arial" w:cs="Arial"/>
          <w:color w:val="000000" w:themeColor="text1"/>
          <w:kern w:val="24"/>
          <w:lang w:val="en-US" w:eastAsia="en-GB"/>
        </w:rPr>
        <w:t xml:space="preserve"> What was impressive during the project lifecycle was the developer’s commitment to an e</w:t>
      </w:r>
      <w:r w:rsidRPr="00052784">
        <w:rPr>
          <w:rFonts w:ascii="Arial" w:eastAsiaTheme="minorEastAsia" w:hAnsi="Arial" w:cs="Arial"/>
          <w:i/>
          <w:iCs/>
          <w:color w:val="000000" w:themeColor="text1"/>
          <w:kern w:val="24"/>
          <w:lang w:val="en-US" w:eastAsia="en-GB"/>
        </w:rPr>
        <w:t>ngagement</w:t>
      </w:r>
      <w:r w:rsidR="008728DC">
        <w:rPr>
          <w:rFonts w:ascii="Arial" w:eastAsiaTheme="minorEastAsia" w:hAnsi="Arial" w:cs="Arial"/>
          <w:i/>
          <w:iCs/>
          <w:color w:val="000000" w:themeColor="text1"/>
          <w:kern w:val="24"/>
          <w:lang w:val="en-US" w:eastAsia="en-GB"/>
        </w:rPr>
        <w:t xml:space="preserve"> and </w:t>
      </w:r>
      <w:r w:rsidRPr="00052784">
        <w:rPr>
          <w:rFonts w:ascii="Arial" w:eastAsiaTheme="minorEastAsia" w:hAnsi="Arial" w:cs="Arial"/>
          <w:i/>
          <w:iCs/>
          <w:color w:val="000000" w:themeColor="text1"/>
          <w:kern w:val="24"/>
          <w:lang w:val="en-US" w:eastAsia="en-GB"/>
        </w:rPr>
        <w:t>social interaction programme</w:t>
      </w:r>
      <w:r w:rsidR="008728DC">
        <w:rPr>
          <w:rFonts w:ascii="Arial" w:eastAsiaTheme="minorEastAsia" w:hAnsi="Arial" w:cs="Arial"/>
          <w:i/>
          <w:iCs/>
          <w:color w:val="000000" w:themeColor="text1"/>
          <w:kern w:val="24"/>
          <w:lang w:val="en-US" w:eastAsia="en-GB"/>
        </w:rPr>
        <w:t xml:space="preserve">, </w:t>
      </w:r>
      <w:r w:rsidR="008728DC" w:rsidRPr="008728DC">
        <w:rPr>
          <w:rFonts w:ascii="Arial" w:eastAsiaTheme="minorEastAsia" w:hAnsi="Arial" w:cs="Arial"/>
          <w:iCs/>
          <w:color w:val="000000" w:themeColor="text1"/>
          <w:kern w:val="24"/>
          <w:lang w:val="en-US" w:eastAsia="en-GB"/>
        </w:rPr>
        <w:t>between</w:t>
      </w:r>
      <w:r w:rsidRPr="00052784">
        <w:rPr>
          <w:rFonts w:ascii="Arial" w:eastAsiaTheme="minorEastAsia" w:hAnsi="Arial" w:cs="Arial"/>
          <w:color w:val="000000" w:themeColor="text1"/>
          <w:kern w:val="24"/>
          <w:lang w:val="en-US" w:eastAsia="en-GB"/>
        </w:rPr>
        <w:t xml:space="preserve"> </w:t>
      </w:r>
      <w:r w:rsidR="008728DC">
        <w:rPr>
          <w:rFonts w:ascii="Arial" w:eastAsiaTheme="minorEastAsia" w:hAnsi="Arial" w:cs="Arial"/>
          <w:color w:val="000000" w:themeColor="text1"/>
          <w:kern w:val="24"/>
          <w:lang w:val="en-US" w:eastAsia="en-GB"/>
        </w:rPr>
        <w:t xml:space="preserve">the </w:t>
      </w:r>
      <w:r w:rsidRPr="00052784">
        <w:rPr>
          <w:rFonts w:ascii="Arial" w:eastAsiaTheme="minorEastAsia" w:hAnsi="Arial" w:cs="Arial"/>
          <w:color w:val="000000" w:themeColor="text1"/>
          <w:kern w:val="24"/>
          <w:lang w:val="en-US" w:eastAsia="en-GB"/>
        </w:rPr>
        <w:t>Vattenfall Local Community Liaison Officer</w:t>
      </w:r>
      <w:r w:rsidR="00B017A7">
        <w:rPr>
          <w:rFonts w:ascii="Arial" w:eastAsiaTheme="minorEastAsia" w:hAnsi="Arial" w:cs="Arial"/>
          <w:color w:val="000000" w:themeColor="text1"/>
          <w:kern w:val="24"/>
          <w:lang w:val="en-US" w:eastAsia="en-GB"/>
        </w:rPr>
        <w:t xml:space="preserve"> (LCLO)</w:t>
      </w:r>
      <w:r w:rsidRPr="00052784">
        <w:rPr>
          <w:rFonts w:ascii="Arial" w:eastAsiaTheme="minorEastAsia" w:hAnsi="Arial" w:cs="Arial"/>
          <w:color w:val="000000" w:themeColor="text1"/>
          <w:kern w:val="24"/>
          <w:lang w:val="en-US" w:eastAsia="en-GB"/>
        </w:rPr>
        <w:t xml:space="preserve"> and</w:t>
      </w:r>
      <w:r w:rsidR="008728DC">
        <w:rPr>
          <w:rFonts w:ascii="Arial" w:eastAsiaTheme="minorEastAsia" w:hAnsi="Arial" w:cs="Arial"/>
          <w:color w:val="000000" w:themeColor="text1"/>
          <w:kern w:val="24"/>
          <w:lang w:val="en-US" w:eastAsia="en-GB"/>
        </w:rPr>
        <w:t xml:space="preserve"> the </w:t>
      </w:r>
      <w:r w:rsidRPr="00052784">
        <w:rPr>
          <w:rFonts w:ascii="Arial" w:eastAsiaTheme="minorEastAsia" w:hAnsi="Arial" w:cs="Arial"/>
          <w:color w:val="000000" w:themeColor="text1"/>
          <w:kern w:val="24"/>
          <w:lang w:val="en-US" w:eastAsia="en-GB"/>
        </w:rPr>
        <w:t xml:space="preserve">local </w:t>
      </w:r>
      <w:r w:rsidR="008728DC">
        <w:rPr>
          <w:rFonts w:ascii="Arial" w:eastAsiaTheme="minorEastAsia" w:hAnsi="Arial" w:cs="Arial"/>
          <w:color w:val="000000" w:themeColor="text1"/>
          <w:kern w:val="24"/>
          <w:lang w:val="en-US" w:eastAsia="en-GB"/>
        </w:rPr>
        <w:t xml:space="preserve">Blackdog </w:t>
      </w:r>
      <w:r w:rsidRPr="00052784">
        <w:rPr>
          <w:rFonts w:ascii="Arial" w:eastAsiaTheme="minorEastAsia" w:hAnsi="Arial" w:cs="Arial"/>
          <w:color w:val="000000" w:themeColor="text1"/>
          <w:kern w:val="24"/>
          <w:lang w:val="en-US" w:eastAsia="en-GB"/>
        </w:rPr>
        <w:t>community</w:t>
      </w:r>
      <w:r w:rsidR="008728DC">
        <w:rPr>
          <w:rFonts w:ascii="Arial" w:eastAsiaTheme="minorEastAsia" w:hAnsi="Arial" w:cs="Arial"/>
          <w:color w:val="000000" w:themeColor="text1"/>
          <w:kern w:val="24"/>
          <w:lang w:val="en-US" w:eastAsia="en-GB"/>
        </w:rPr>
        <w:t>, impacted by the sub-station development.</w:t>
      </w:r>
      <w:r w:rsidRPr="00052784">
        <w:rPr>
          <w:rFonts w:ascii="Arial" w:eastAsiaTheme="minorEastAsia" w:hAnsi="Arial" w:cs="Arial"/>
          <w:color w:val="000000" w:themeColor="text1"/>
          <w:kern w:val="24"/>
          <w:lang w:val="en-US" w:eastAsia="en-GB"/>
        </w:rPr>
        <w:t xml:space="preserve"> </w:t>
      </w:r>
      <w:r w:rsidRPr="00052784">
        <w:rPr>
          <w:rFonts w:ascii="Arial" w:eastAsiaTheme="minorEastAsia" w:hAnsi="Arial" w:cs="Arial"/>
          <w:color w:val="000000" w:themeColor="text1"/>
          <w:kern w:val="24"/>
          <w:lang w:eastAsia="en-GB"/>
        </w:rPr>
        <w:t xml:space="preserve">A key component of the engagement strategy has been educating and raising awareness of the renewable industry and the innovations </w:t>
      </w:r>
      <w:r w:rsidR="00B017A7">
        <w:rPr>
          <w:rFonts w:ascii="Arial" w:eastAsiaTheme="minorEastAsia" w:hAnsi="Arial" w:cs="Arial"/>
          <w:color w:val="000000" w:themeColor="text1"/>
          <w:kern w:val="24"/>
          <w:lang w:eastAsia="en-GB"/>
        </w:rPr>
        <w:t>of</w:t>
      </w:r>
      <w:r w:rsidRPr="00052784">
        <w:rPr>
          <w:rFonts w:ascii="Arial" w:eastAsiaTheme="minorEastAsia" w:hAnsi="Arial" w:cs="Arial"/>
          <w:color w:val="000000" w:themeColor="text1"/>
          <w:kern w:val="24"/>
          <w:lang w:eastAsia="en-GB"/>
        </w:rPr>
        <w:t xml:space="preserve"> the Aberdeen project.</w:t>
      </w:r>
      <w:r w:rsidRPr="00052784">
        <w:rPr>
          <w:rFonts w:ascii="Arial" w:eastAsiaTheme="minorEastAsia" w:hAnsi="Arial" w:cs="Arial"/>
          <w:color w:val="000000" w:themeColor="text1"/>
          <w:kern w:val="24"/>
          <w:lang w:val="en-US" w:eastAsia="en-GB"/>
        </w:rPr>
        <w:t xml:space="preserve"> </w:t>
      </w:r>
      <w:r w:rsidR="008728DC">
        <w:rPr>
          <w:rFonts w:ascii="Arial" w:eastAsiaTheme="minorEastAsia" w:hAnsi="Arial" w:cs="Arial"/>
          <w:color w:val="000000" w:themeColor="text1"/>
          <w:kern w:val="24"/>
          <w:lang w:val="en-US" w:eastAsia="en-GB"/>
        </w:rPr>
        <w:t>There was also a set of i</w:t>
      </w:r>
      <w:r w:rsidRPr="00052784">
        <w:rPr>
          <w:rFonts w:ascii="Arial" w:eastAsiaTheme="minorEastAsia" w:hAnsi="Arial" w:cs="Arial"/>
          <w:i/>
          <w:iCs/>
          <w:color w:val="000000" w:themeColor="text1"/>
          <w:kern w:val="24"/>
          <w:lang w:val="en-US" w:eastAsia="en-GB"/>
        </w:rPr>
        <w:t>nitial community benefits</w:t>
      </w:r>
      <w:r w:rsidRPr="00052784">
        <w:rPr>
          <w:rFonts w:ascii="Arial" w:eastAsiaTheme="minorEastAsia" w:hAnsi="Arial" w:cs="Arial"/>
          <w:color w:val="000000" w:themeColor="text1"/>
          <w:kern w:val="24"/>
          <w:lang w:val="en-US" w:eastAsia="en-GB"/>
        </w:rPr>
        <w:t xml:space="preserve"> </w:t>
      </w:r>
      <w:r w:rsidR="008728DC">
        <w:rPr>
          <w:rFonts w:ascii="Arial" w:eastAsiaTheme="minorEastAsia" w:hAnsi="Arial" w:cs="Arial"/>
          <w:color w:val="000000" w:themeColor="text1"/>
          <w:kern w:val="24"/>
          <w:lang w:val="en-US" w:eastAsia="en-GB"/>
        </w:rPr>
        <w:t xml:space="preserve">eg. </w:t>
      </w:r>
      <w:r w:rsidR="00EC52D6" w:rsidRPr="00052784">
        <w:rPr>
          <w:rFonts w:ascii="Arial" w:eastAsiaTheme="minorEastAsia" w:hAnsi="Arial" w:cs="Arial"/>
          <w:color w:val="000000" w:themeColor="text1"/>
          <w:kern w:val="24"/>
          <w:lang w:val="en-US" w:eastAsia="en-GB"/>
        </w:rPr>
        <w:t>To</w:t>
      </w:r>
      <w:r w:rsidRPr="00052784">
        <w:rPr>
          <w:rFonts w:ascii="Arial" w:eastAsiaTheme="minorEastAsia" w:hAnsi="Arial" w:cs="Arial"/>
          <w:color w:val="000000" w:themeColor="text1"/>
          <w:kern w:val="24"/>
          <w:lang w:val="en-US" w:eastAsia="en-GB"/>
        </w:rPr>
        <w:t xml:space="preserve"> Aberdeen Science Centre, Aberdeen FC, Blackdog Residents’ Association (c£80k in total to date</w:t>
      </w:r>
      <w:r w:rsidRPr="00052784">
        <w:rPr>
          <w:rFonts w:eastAsiaTheme="minorEastAsia" w:hAnsi="Arial"/>
          <w:color w:val="000000" w:themeColor="text1"/>
          <w:kern w:val="24"/>
          <w:lang w:val="en-US" w:eastAsia="en-GB"/>
        </w:rPr>
        <w:t>).</w:t>
      </w:r>
    </w:p>
    <w:p w:rsidR="00052784" w:rsidRPr="00EC52D6" w:rsidRDefault="00052784" w:rsidP="00DD5EA6">
      <w:pPr>
        <w:spacing w:after="0" w:line="240" w:lineRule="auto"/>
        <w:jc w:val="both"/>
        <w:rPr>
          <w:rFonts w:eastAsiaTheme="minorEastAsia" w:hAnsi="Arial"/>
          <w:color w:val="000000" w:themeColor="text1"/>
          <w:kern w:val="24"/>
          <w:sz w:val="16"/>
          <w:szCs w:val="16"/>
          <w:lang w:val="en-US" w:eastAsia="en-GB"/>
        </w:rPr>
      </w:pPr>
    </w:p>
    <w:p w:rsidR="00563063" w:rsidRDefault="00563063" w:rsidP="00DD5EA6">
      <w:pPr>
        <w:spacing w:after="200" w:line="240" w:lineRule="auto"/>
        <w:jc w:val="both"/>
        <w:rPr>
          <w:rFonts w:ascii="Arial" w:hAnsi="Arial" w:cs="Arial"/>
          <w:noProof/>
          <w:lang w:eastAsia="en-GB"/>
        </w:rPr>
      </w:pPr>
      <w:r w:rsidRPr="009D7B87">
        <w:rPr>
          <w:rFonts w:ascii="Arial" w:hAnsi="Arial" w:cs="Arial"/>
        </w:rPr>
        <w:t xml:space="preserve">A key feature of the late construction/ early O&amp;M stage has been the development of the </w:t>
      </w:r>
      <w:r w:rsidRPr="00EC52D6">
        <w:rPr>
          <w:rFonts w:ascii="Arial" w:hAnsi="Arial" w:cs="Arial"/>
          <w:i/>
        </w:rPr>
        <w:t>Aberdeen OWF Community Benefits Fund (CBF</w:t>
      </w:r>
      <w:r w:rsidRPr="00EC52D6">
        <w:rPr>
          <w:rFonts w:ascii="Arial" w:hAnsi="Arial" w:cs="Arial"/>
        </w:rPr>
        <w:t>). This has built on pioneering Scottish guidance, as well as on other UK and international examples (Haggett 201</w:t>
      </w:r>
      <w:r>
        <w:rPr>
          <w:rFonts w:ascii="Arial" w:hAnsi="Arial" w:cs="Arial"/>
        </w:rPr>
        <w:t>7</w:t>
      </w:r>
      <w:r w:rsidRPr="009D7B87">
        <w:rPr>
          <w:rFonts w:ascii="Arial" w:hAnsi="Arial" w:cs="Arial"/>
        </w:rPr>
        <w:t>). The L</w:t>
      </w:r>
      <w:r w:rsidR="00B017A7">
        <w:rPr>
          <w:rFonts w:ascii="Arial" w:hAnsi="Arial" w:cs="Arial"/>
        </w:rPr>
        <w:t>CLO</w:t>
      </w:r>
      <w:r w:rsidRPr="009D7B87">
        <w:rPr>
          <w:rFonts w:ascii="Arial" w:hAnsi="Arial" w:cs="Arial"/>
        </w:rPr>
        <w:t xml:space="preserve"> followed up </w:t>
      </w:r>
      <w:r>
        <w:rPr>
          <w:rFonts w:ascii="Arial" w:hAnsi="Arial" w:cs="Arial"/>
        </w:rPr>
        <w:t>such</w:t>
      </w:r>
      <w:r w:rsidRPr="009D7B87">
        <w:rPr>
          <w:rFonts w:ascii="Arial" w:hAnsi="Arial" w:cs="Arial"/>
        </w:rPr>
        <w:t xml:space="preserve"> guidance with local stakeholders and an online survey of the local community on various options for the Aberdeen CBF. The positive outcome is a CBF of £150,000 pa for 20 years. It applies to </w:t>
      </w:r>
      <w:r w:rsidRPr="009D7B87">
        <w:rPr>
          <w:rFonts w:ascii="Arial" w:hAnsi="Arial" w:cs="Arial"/>
          <w:noProof/>
          <w:lang w:eastAsia="en-GB"/>
        </w:rPr>
        <w:t>the whole of Aberdeen City and Aberdeenshire, but with 10% (ie £15,000) pa ringfenced for Blackdog projects.</w:t>
      </w:r>
      <w:r w:rsidR="00545109">
        <w:rPr>
          <w:rFonts w:ascii="Arial" w:hAnsi="Arial" w:cs="Arial"/>
          <w:noProof/>
          <w:lang w:eastAsia="en-GB"/>
        </w:rPr>
        <w:t xml:space="preserve"> This fund is a major additional, social and economic benefit, for the O&amp;M stage, which, with multipier impacts, is likely to generate a  substantial social return on investment.</w:t>
      </w:r>
      <w:r w:rsidR="00545109" w:rsidRPr="00545109">
        <w:rPr>
          <w:rFonts w:ascii="Arial" w:hAnsi="Arial" w:cs="Arial"/>
          <w:noProof/>
          <w:lang w:eastAsia="en-GB"/>
        </w:rPr>
        <w:t xml:space="preserve"> </w:t>
      </w:r>
      <w:r w:rsidR="00545109">
        <w:rPr>
          <w:rFonts w:ascii="Arial" w:hAnsi="Arial" w:cs="Arial"/>
          <w:noProof/>
          <w:lang w:eastAsia="en-GB"/>
        </w:rPr>
        <w:t>If the claims made for the equivalent Beatrice Fund (NEF, 2017) were to eventuate for the Aberdeen Fund, the £3m fund might deliver total social benefits of up to £9m (at current prices) over the life of the project.</w:t>
      </w:r>
    </w:p>
    <w:p w:rsidR="00B017A7" w:rsidRDefault="00B017A7" w:rsidP="00B017A7">
      <w:pPr>
        <w:spacing w:after="0" w:line="240" w:lineRule="auto"/>
        <w:jc w:val="both"/>
        <w:rPr>
          <w:rFonts w:ascii="Arial" w:eastAsiaTheme="minorEastAsia" w:hAnsi="Arial" w:cs="Arial"/>
          <w:color w:val="000000" w:themeColor="text1"/>
          <w:kern w:val="24"/>
          <w:lang w:eastAsia="en-GB"/>
        </w:rPr>
      </w:pPr>
      <w:r w:rsidRPr="00545109">
        <w:rPr>
          <w:rFonts w:ascii="Arial" w:eastAsia="Times New Roman" w:hAnsi="Arial" w:cs="Arial"/>
          <w:lang w:eastAsia="en-GB"/>
        </w:rPr>
        <w:t>Surveys of the residents of the small Blackdog community, and the wider population of Aberdeen residents, indicate</w:t>
      </w:r>
      <w:r>
        <w:rPr>
          <w:rFonts w:ascii="Arial" w:eastAsia="Times New Roman" w:hAnsi="Arial" w:cs="Arial"/>
          <w:lang w:eastAsia="en-GB"/>
        </w:rPr>
        <w:t>d</w:t>
      </w:r>
      <w:r w:rsidRPr="00545109">
        <w:rPr>
          <w:rFonts w:ascii="Arial" w:eastAsia="Times New Roman" w:hAnsi="Arial" w:cs="Arial"/>
          <w:lang w:eastAsia="en-GB"/>
        </w:rPr>
        <w:t xml:space="preserve"> at worst neutral and, in many cases, very positive attitudes to this very visible </w:t>
      </w:r>
      <w:r>
        <w:rPr>
          <w:rFonts w:ascii="Arial" w:eastAsia="Times New Roman" w:hAnsi="Arial" w:cs="Arial"/>
          <w:lang w:eastAsia="en-GB"/>
        </w:rPr>
        <w:t xml:space="preserve">near shore </w:t>
      </w:r>
      <w:r w:rsidRPr="00545109">
        <w:rPr>
          <w:rFonts w:ascii="Arial" w:eastAsia="Times New Roman" w:hAnsi="Arial" w:cs="Arial"/>
          <w:lang w:eastAsia="en-GB"/>
        </w:rPr>
        <w:t xml:space="preserve">development. </w:t>
      </w:r>
      <w:r w:rsidRPr="00545109">
        <w:rPr>
          <w:rFonts w:ascii="Arial" w:hAnsi="Arial" w:cs="Arial"/>
        </w:rPr>
        <w:t>C</w:t>
      </w:r>
      <w:r w:rsidRPr="00545109">
        <w:rPr>
          <w:rFonts w:ascii="Arial" w:hAnsi="Arial" w:cs="Arial"/>
          <w:noProof/>
          <w:lang w:eastAsia="en-GB"/>
        </w:rPr>
        <w:t xml:space="preserve">omments included, for example: </w:t>
      </w:r>
      <w:r w:rsidRPr="00545109">
        <w:rPr>
          <w:rFonts w:ascii="Arial" w:hAnsi="Arial" w:cs="Arial"/>
          <w:i/>
          <w:noProof/>
          <w:lang w:eastAsia="en-GB"/>
        </w:rPr>
        <w:t xml:space="preserve">sense of pride-demonstrating Scotland’s commitment to renewables; I love the look of windfarms, they are beautiful; clean energy is beneficial to everyone; benefits for jobs and the environment; can take over when oil runs out. </w:t>
      </w:r>
      <w:r w:rsidRPr="00545109">
        <w:rPr>
          <w:rFonts w:ascii="Arial" w:hAnsi="Arial" w:cs="Arial"/>
          <w:noProof/>
          <w:lang w:eastAsia="en-GB"/>
        </w:rPr>
        <w:t xml:space="preserve">There were far fewer negative comments, but some examples included: </w:t>
      </w:r>
      <w:r w:rsidRPr="00545109">
        <w:rPr>
          <w:rFonts w:ascii="Arial" w:hAnsi="Arial" w:cs="Arial"/>
          <w:i/>
          <w:noProof/>
          <w:lang w:eastAsia="en-GB"/>
        </w:rPr>
        <w:t xml:space="preserve"> possible disruption to wildlife/sealife; disruptive onshore infrastructure; visual disbenefits.</w:t>
      </w:r>
      <w:r w:rsidRPr="00545109">
        <w:rPr>
          <w:rFonts w:ascii="Arial" w:hAnsi="Arial" w:cs="Arial"/>
          <w:noProof/>
          <w:lang w:eastAsia="en-GB"/>
        </w:rPr>
        <w:t xml:space="preserve"> For the Blackdog community, there was </w:t>
      </w:r>
      <w:r w:rsidRPr="00545109">
        <w:rPr>
          <w:rFonts w:ascii="Arial" w:eastAsiaTheme="minorEastAsia" w:hAnsi="Arial" w:cs="Arial"/>
          <w:color w:val="000000" w:themeColor="text1"/>
          <w:kern w:val="24"/>
          <w:lang w:eastAsia="en-GB"/>
        </w:rPr>
        <w:t xml:space="preserve">some </w:t>
      </w:r>
      <w:r>
        <w:rPr>
          <w:rFonts w:ascii="Arial" w:eastAsiaTheme="minorEastAsia" w:hAnsi="Arial" w:cs="Arial"/>
          <w:color w:val="000000" w:themeColor="text1"/>
          <w:kern w:val="24"/>
          <w:lang w:eastAsia="en-GB"/>
        </w:rPr>
        <w:t xml:space="preserve">initial </w:t>
      </w:r>
      <w:r w:rsidRPr="00545109">
        <w:rPr>
          <w:rFonts w:ascii="Arial" w:eastAsiaTheme="minorEastAsia" w:hAnsi="Arial" w:cs="Arial"/>
          <w:color w:val="000000" w:themeColor="text1"/>
          <w:kern w:val="24"/>
          <w:lang w:eastAsia="en-GB"/>
        </w:rPr>
        <w:t>impact on community cohesion with some community members oppos</w:t>
      </w:r>
      <w:r>
        <w:rPr>
          <w:rFonts w:ascii="Arial" w:eastAsiaTheme="minorEastAsia" w:hAnsi="Arial" w:cs="Arial"/>
          <w:color w:val="000000" w:themeColor="text1"/>
          <w:kern w:val="24"/>
          <w:lang w:eastAsia="en-GB"/>
        </w:rPr>
        <w:t>ing the</w:t>
      </w:r>
      <w:r w:rsidRPr="00545109">
        <w:rPr>
          <w:rFonts w:ascii="Arial" w:eastAsiaTheme="minorEastAsia" w:hAnsi="Arial" w:cs="Arial"/>
          <w:color w:val="000000" w:themeColor="text1"/>
          <w:kern w:val="24"/>
          <w:lang w:eastAsia="en-GB"/>
        </w:rPr>
        <w:t xml:space="preserve"> development strongly </w:t>
      </w:r>
      <w:r>
        <w:rPr>
          <w:rFonts w:ascii="Arial" w:eastAsiaTheme="minorEastAsia" w:hAnsi="Arial" w:cs="Arial"/>
          <w:color w:val="000000" w:themeColor="text1"/>
          <w:kern w:val="24"/>
          <w:lang w:eastAsia="en-GB"/>
        </w:rPr>
        <w:t xml:space="preserve">especially in relation to </w:t>
      </w:r>
      <w:r w:rsidRPr="00545109">
        <w:rPr>
          <w:rFonts w:ascii="Arial" w:eastAsiaTheme="minorEastAsia" w:hAnsi="Arial" w:cs="Arial"/>
          <w:color w:val="000000" w:themeColor="text1"/>
          <w:kern w:val="24"/>
          <w:lang w:eastAsia="en-GB"/>
        </w:rPr>
        <w:t xml:space="preserve">construction traffic activities. There were also some dashed early perceptions on potential local benefits, including whether the community would receive cheaper electricity, and improved broadband. </w:t>
      </w:r>
      <w:r>
        <w:rPr>
          <w:rFonts w:ascii="Arial" w:eastAsiaTheme="minorEastAsia" w:hAnsi="Arial" w:cs="Arial"/>
          <w:color w:val="000000" w:themeColor="text1"/>
          <w:kern w:val="24"/>
          <w:lang w:eastAsia="en-GB"/>
        </w:rPr>
        <w:t xml:space="preserve">However, in general there was acknowledgement that Vattenfall had engaged with the community better than expected and that the main financial benefits would come in the O&amp;M stage. </w:t>
      </w:r>
    </w:p>
    <w:p w:rsidR="00A85CF0" w:rsidRDefault="00A85CF0" w:rsidP="00B017A7">
      <w:pPr>
        <w:spacing w:after="0" w:line="240" w:lineRule="auto"/>
        <w:jc w:val="both"/>
        <w:rPr>
          <w:rFonts w:ascii="Arial" w:eastAsiaTheme="minorEastAsia" w:hAnsi="Arial" w:cs="Arial"/>
          <w:color w:val="000000" w:themeColor="text1"/>
          <w:kern w:val="24"/>
          <w:lang w:eastAsia="en-GB"/>
        </w:rPr>
      </w:pPr>
    </w:p>
    <w:p w:rsidR="00A85CF0" w:rsidRPr="00EC52D6" w:rsidRDefault="00A85CF0" w:rsidP="00A85CF0">
      <w:pPr>
        <w:pBdr>
          <w:bottom w:val="single" w:sz="6" w:space="1" w:color="auto"/>
        </w:pBdr>
        <w:spacing w:line="240" w:lineRule="auto"/>
        <w:rPr>
          <w:rFonts w:ascii="Arial" w:hAnsi="Arial" w:cs="Arial"/>
          <w:b/>
          <w:sz w:val="24"/>
          <w:szCs w:val="24"/>
        </w:rPr>
      </w:pPr>
      <w:r w:rsidRPr="00EC52D6">
        <w:rPr>
          <w:rFonts w:ascii="Arial" w:hAnsi="Arial" w:cs="Arial"/>
          <w:b/>
          <w:sz w:val="24"/>
          <w:szCs w:val="24"/>
        </w:rPr>
        <w:t xml:space="preserve">Conclusion: major opportunities in a technologically rapidly evolving industry </w:t>
      </w:r>
    </w:p>
    <w:p w:rsidR="00A85CF0" w:rsidRDefault="00A85CF0" w:rsidP="00A85CF0">
      <w:pPr>
        <w:spacing w:after="0" w:line="240" w:lineRule="auto"/>
        <w:jc w:val="both"/>
        <w:rPr>
          <w:rFonts w:ascii="Arial" w:hAnsi="Arial" w:cs="Arial"/>
          <w:noProof/>
          <w:lang w:eastAsia="en-GB"/>
        </w:rPr>
      </w:pPr>
      <w:r>
        <w:rPr>
          <w:rFonts w:ascii="Arial" w:hAnsi="Arial" w:cs="Arial"/>
        </w:rPr>
        <w:t xml:space="preserve">Offshore wind power is a rapidly growing source of marine renewable energy. However, will the adjacent coastal communities benefit? There is a growing recognition of potential socio-economic benefits in UK ESs. However, our research indicates that the social impacts are very much the poor relation, with the focus on economic impacts, especially on employment and investment/expenditure impacts. The </w:t>
      </w:r>
      <w:r w:rsidR="00EC52D6">
        <w:rPr>
          <w:rFonts w:ascii="Arial" w:hAnsi="Arial" w:cs="Arial"/>
        </w:rPr>
        <w:t>ESs</w:t>
      </w:r>
      <w:r>
        <w:rPr>
          <w:rFonts w:ascii="Arial" w:hAnsi="Arial" w:cs="Arial"/>
        </w:rPr>
        <w:t xml:space="preserve"> use a scenario approach, making accurate prediction difficult, although this may change over time as service port hubs become established. The focus has also been on the offshore construction element of the project, yet there is major leakage of local benefit from that element. It is the onshore construction element and the O&amp;M stage that have the greater local economic potential for smaller projects and settlements. Only with a pipeline of major projects, is there the critical mass </w:t>
      </w:r>
      <w:r>
        <w:rPr>
          <w:rFonts w:ascii="Arial" w:hAnsi="Arial" w:cs="Arial"/>
        </w:rPr>
        <w:lastRenderedPageBreak/>
        <w:t xml:space="preserve">for onshore fabrication and installation bases, and substantial benefit from offshore construction. The case studies also show that community acceptance of such projects benefits from a well-structured programme of developer/community engagement and interaction from very early in the life of projects. In the later stage, the increasing use of community benefits agreements can </w:t>
      </w:r>
      <w:r>
        <w:rPr>
          <w:rFonts w:ascii="Arial" w:hAnsi="Arial" w:cs="Arial"/>
          <w:noProof/>
          <w:lang w:eastAsia="en-GB"/>
        </w:rPr>
        <w:t>generate a  substantial social return on investment</w:t>
      </w:r>
    </w:p>
    <w:p w:rsidR="00A85CF0" w:rsidRDefault="00A85CF0" w:rsidP="00A85CF0">
      <w:pPr>
        <w:spacing w:after="0" w:line="240" w:lineRule="auto"/>
        <w:jc w:val="both"/>
        <w:rPr>
          <w:rFonts w:ascii="Arial" w:hAnsi="Arial" w:cs="Arial"/>
          <w:b/>
          <w:sz w:val="24"/>
          <w:szCs w:val="24"/>
        </w:rPr>
      </w:pPr>
    </w:p>
    <w:p w:rsidR="00B017A7" w:rsidRDefault="00400CDB" w:rsidP="00B017A7">
      <w:pPr>
        <w:pBdr>
          <w:bottom w:val="single" w:sz="6" w:space="1" w:color="auto"/>
        </w:pBdr>
        <w:spacing w:line="240" w:lineRule="auto"/>
        <w:ind w:left="-57"/>
        <w:jc w:val="both"/>
        <w:rPr>
          <w:rFonts w:ascii="Arial" w:hAnsi="Arial" w:cs="Arial"/>
          <w:noProof/>
          <w:lang w:eastAsia="en-GB"/>
        </w:rPr>
      </w:pPr>
      <w:r w:rsidRPr="00400CDB">
        <w:rPr>
          <w:rFonts w:ascii="Arial" w:hAnsi="Arial" w:cs="Arial"/>
          <w:b/>
          <w:noProof/>
          <w:lang w:eastAsia="en-GB"/>
        </w:rPr>
        <w:t>Figure 4</w:t>
      </w:r>
      <w:r>
        <w:rPr>
          <w:rFonts w:ascii="Arial" w:hAnsi="Arial" w:cs="Arial"/>
          <w:noProof/>
          <w:lang w:eastAsia="en-GB"/>
        </w:rPr>
        <w:t>: The visible near-shore</w:t>
      </w:r>
      <w:r w:rsidR="00B017A7">
        <w:rPr>
          <w:rFonts w:ascii="Arial" w:hAnsi="Arial" w:cs="Arial"/>
          <w:noProof/>
          <w:lang w:eastAsia="en-GB"/>
        </w:rPr>
        <w:t xml:space="preserve"> </w:t>
      </w:r>
      <w:r w:rsidR="00A85CF0">
        <w:rPr>
          <w:rFonts w:ascii="Arial" w:hAnsi="Arial" w:cs="Arial"/>
          <w:noProof/>
          <w:lang w:eastAsia="en-GB"/>
        </w:rPr>
        <w:t xml:space="preserve"> </w:t>
      </w:r>
      <w:r w:rsidR="00B017A7">
        <w:rPr>
          <w:rFonts w:ascii="Arial" w:hAnsi="Arial" w:cs="Arial"/>
          <w:noProof/>
          <w:lang w:eastAsia="en-GB"/>
        </w:rPr>
        <w:t xml:space="preserve">              </w:t>
      </w:r>
      <w:r w:rsidR="005B58FE">
        <w:rPr>
          <w:rFonts w:ascii="Arial" w:hAnsi="Arial" w:cs="Arial"/>
          <w:noProof/>
          <w:lang w:eastAsia="en-GB"/>
        </w:rPr>
        <w:t xml:space="preserve">               </w:t>
      </w:r>
      <w:r w:rsidR="00B017A7">
        <w:rPr>
          <w:rFonts w:ascii="Arial" w:hAnsi="Arial" w:cs="Arial"/>
          <w:noProof/>
          <w:lang w:eastAsia="en-GB"/>
        </w:rPr>
        <w:t xml:space="preserve">  </w:t>
      </w:r>
      <w:r w:rsidR="00B017A7" w:rsidRPr="00F7732F">
        <w:rPr>
          <w:rFonts w:ascii="Arial" w:hAnsi="Arial" w:cs="Arial"/>
          <w:b/>
          <w:noProof/>
          <w:lang w:eastAsia="en-GB"/>
        </w:rPr>
        <w:t>Figure 5</w:t>
      </w:r>
      <w:r w:rsidR="00B017A7">
        <w:rPr>
          <w:rFonts w:ascii="Arial" w:hAnsi="Arial" w:cs="Arial"/>
          <w:noProof/>
          <w:lang w:eastAsia="en-GB"/>
        </w:rPr>
        <w:t xml:space="preserve">: </w:t>
      </w:r>
      <w:r w:rsidR="00B017A7">
        <w:rPr>
          <w:rFonts w:ascii="Arial" w:hAnsi="Arial" w:cs="Arial"/>
          <w:noProof/>
          <w:lang w:eastAsia="en-GB"/>
        </w:rPr>
        <w:t>F</w:t>
      </w:r>
      <w:r w:rsidR="00B017A7">
        <w:rPr>
          <w:rFonts w:ascii="Arial" w:hAnsi="Arial" w:cs="Arial"/>
          <w:noProof/>
          <w:lang w:eastAsia="en-GB"/>
        </w:rPr>
        <w:t>loating wind</w:t>
      </w:r>
      <w:r w:rsidR="00B017A7">
        <w:rPr>
          <w:rFonts w:ascii="Arial" w:hAnsi="Arial" w:cs="Arial"/>
          <w:noProof/>
          <w:lang w:eastAsia="en-GB"/>
        </w:rPr>
        <w:t xml:space="preserve"> farm areas of potential </w:t>
      </w:r>
      <w:r w:rsidR="00A85CF0">
        <w:rPr>
          <w:rFonts w:ascii="Arial" w:hAnsi="Arial" w:cs="Arial"/>
          <w:noProof/>
          <w:lang w:eastAsia="en-GB"/>
        </w:rPr>
        <w:t xml:space="preserve"> </w:t>
      </w:r>
      <w:r w:rsidR="00B017A7">
        <w:rPr>
          <w:rFonts w:ascii="Arial" w:hAnsi="Arial" w:cs="Arial"/>
          <w:noProof/>
          <w:lang w:eastAsia="en-GB"/>
        </w:rPr>
        <w:t xml:space="preserve">Aberdeen OWF            </w:t>
      </w:r>
    </w:p>
    <w:p w:rsidR="00B017A7" w:rsidRDefault="00B017A7" w:rsidP="00B017A7">
      <w:pPr>
        <w:tabs>
          <w:tab w:val="left" w:pos="6372"/>
        </w:tabs>
        <w:spacing w:after="0" w:line="240" w:lineRule="auto"/>
        <w:jc w:val="both"/>
        <w:rPr>
          <w:rFonts w:ascii="Arial" w:hAnsi="Arial" w:cs="Arial"/>
          <w:noProof/>
          <w:lang w:eastAsia="en-GB"/>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161925</wp:posOffset>
            </wp:positionV>
            <wp:extent cx="3032760" cy="2766060"/>
            <wp:effectExtent l="0" t="0" r="0" b="0"/>
            <wp:wrapSquare wrapText="bothSides"/>
            <wp:docPr id="2066" name="Picture 18" descr="A general view of The European Offshore Wind Deployment Centre located in Aberdeen Bay on 7 September 2018 in Scotland which Donald Trump had opposed because of his neighbouring golf cour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18" descr="A general view of The European Offshore Wind Deployment Centre located in Aberdeen Bay on 7 September 2018 in Scotland which Donald Trump had opposed because of his neighbouring golf cours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2760" cy="276606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ab/>
      </w:r>
    </w:p>
    <w:p w:rsidR="00E86916" w:rsidRPr="003B167C" w:rsidRDefault="00B017A7" w:rsidP="00E86916">
      <w:pPr>
        <w:pBdr>
          <w:bottom w:val="single" w:sz="6" w:space="1" w:color="auto"/>
        </w:pBdr>
        <w:spacing w:line="240" w:lineRule="auto"/>
        <w:jc w:val="both"/>
        <w:rPr>
          <w:rFonts w:ascii="Arial" w:hAnsi="Arial" w:cs="Arial"/>
          <w:noProof/>
          <w:sz w:val="20"/>
          <w:szCs w:val="20"/>
          <w:lang w:eastAsia="en-GB"/>
        </w:rPr>
      </w:pPr>
      <w:r>
        <w:rPr>
          <w:rFonts w:ascii="Arial" w:hAnsi="Arial" w:cs="Arial"/>
          <w:noProof/>
          <w:lang w:eastAsia="en-GB"/>
        </w:rPr>
        <w:t xml:space="preserve"> </w:t>
      </w:r>
      <w:r w:rsidRPr="003B167C">
        <w:rPr>
          <w:rFonts w:ascii="Arial" w:hAnsi="Arial" w:cs="Arial"/>
          <w:noProof/>
          <w:lang w:eastAsia="en-GB"/>
        </w:rPr>
        <w:drawing>
          <wp:inline distT="0" distB="0" distL="0" distR="0" wp14:anchorId="07861B60" wp14:editId="3ED4F8AF">
            <wp:extent cx="2964180" cy="27965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453" cy="2812836"/>
                    </a:xfrm>
                    <a:prstGeom prst="rect">
                      <a:avLst/>
                    </a:prstGeom>
                    <a:noFill/>
                    <a:ln>
                      <a:noFill/>
                    </a:ln>
                  </pic:spPr>
                </pic:pic>
              </a:graphicData>
            </a:graphic>
          </wp:inline>
        </w:drawing>
      </w:r>
      <w:r>
        <w:rPr>
          <w:rFonts w:ascii="Arial" w:hAnsi="Arial" w:cs="Arial"/>
          <w:noProof/>
          <w:lang w:eastAsia="en-GB"/>
        </w:rPr>
        <w:br w:type="textWrapping" w:clear="all"/>
      </w:r>
      <w:r w:rsidR="00E86916">
        <w:rPr>
          <w:rFonts w:ascii="Arial" w:hAnsi="Arial" w:cs="Arial"/>
          <w:noProof/>
          <w:lang w:eastAsia="en-GB"/>
        </w:rPr>
        <w:t xml:space="preserve">                                                                                   </w:t>
      </w:r>
      <w:r w:rsidR="00E86916" w:rsidRPr="003B167C">
        <w:rPr>
          <w:rFonts w:ascii="Arial" w:hAnsi="Arial" w:cs="Arial"/>
          <w:noProof/>
          <w:sz w:val="20"/>
          <w:szCs w:val="20"/>
          <w:lang w:eastAsia="en-GB"/>
        </w:rPr>
        <w:t>Source: Crown Estate</w:t>
      </w:r>
      <w:r w:rsidR="00E86916">
        <w:rPr>
          <w:rFonts w:ascii="Arial" w:hAnsi="Arial" w:cs="Arial"/>
          <w:noProof/>
          <w:sz w:val="20"/>
          <w:szCs w:val="20"/>
          <w:lang w:eastAsia="en-GB"/>
        </w:rPr>
        <w:t xml:space="preserve"> </w:t>
      </w:r>
      <w:r w:rsidR="00E86916" w:rsidRPr="003B167C">
        <w:rPr>
          <w:rFonts w:ascii="Arial" w:hAnsi="Arial" w:cs="Arial"/>
          <w:noProof/>
          <w:sz w:val="20"/>
          <w:szCs w:val="20"/>
          <w:lang w:eastAsia="en-GB"/>
        </w:rPr>
        <w:t>(2018)</w:t>
      </w:r>
    </w:p>
    <w:p w:rsidR="00F7732F" w:rsidRDefault="00653CC4" w:rsidP="00DD5EA6">
      <w:pPr>
        <w:pBdr>
          <w:bottom w:val="single" w:sz="6" w:space="1" w:color="auto"/>
        </w:pBdr>
        <w:spacing w:line="240" w:lineRule="auto"/>
        <w:jc w:val="both"/>
        <w:rPr>
          <w:rFonts w:ascii="Arial" w:hAnsi="Arial" w:cs="Arial"/>
          <w:color w:val="323437"/>
          <w:shd w:val="clear" w:color="auto" w:fill="FFFFFF"/>
        </w:rPr>
      </w:pPr>
      <w:bookmarkStart w:id="0" w:name="_GoBack"/>
      <w:bookmarkEnd w:id="0"/>
      <w:r>
        <w:rPr>
          <w:rFonts w:ascii="Arial" w:hAnsi="Arial" w:cs="Arial"/>
          <w:noProof/>
          <w:lang w:eastAsia="en-GB"/>
        </w:rPr>
        <w:t>The OWF industry is innovative and technological advances are rapid. The assessment of impacts needs to be alive to such developments, as they may have consequences for impacts.</w:t>
      </w:r>
      <w:r w:rsidR="001F3DD6">
        <w:rPr>
          <w:rFonts w:ascii="Arial" w:hAnsi="Arial" w:cs="Arial"/>
          <w:noProof/>
          <w:lang w:eastAsia="en-GB"/>
        </w:rPr>
        <w:t xml:space="preserve"> </w:t>
      </w:r>
      <w:r>
        <w:rPr>
          <w:rFonts w:ascii="Arial" w:hAnsi="Arial" w:cs="Arial"/>
          <w:noProof/>
          <w:lang w:eastAsia="en-GB"/>
        </w:rPr>
        <w:t>For example,  drones might substitute for  boat crew</w:t>
      </w:r>
      <w:r w:rsidR="001F3DD6">
        <w:rPr>
          <w:rFonts w:ascii="Arial" w:hAnsi="Arial" w:cs="Arial"/>
          <w:noProof/>
          <w:lang w:eastAsia="en-GB"/>
        </w:rPr>
        <w:t>s</w:t>
      </w:r>
      <w:r>
        <w:rPr>
          <w:rFonts w:ascii="Arial" w:hAnsi="Arial" w:cs="Arial"/>
          <w:noProof/>
          <w:lang w:eastAsia="en-GB"/>
        </w:rPr>
        <w:t xml:space="preserve"> </w:t>
      </w:r>
      <w:r w:rsidR="001F3DD6">
        <w:rPr>
          <w:rFonts w:ascii="Arial" w:hAnsi="Arial" w:cs="Arial"/>
          <w:noProof/>
          <w:lang w:eastAsia="en-GB"/>
        </w:rPr>
        <w:t>for</w:t>
      </w:r>
      <w:r>
        <w:rPr>
          <w:rFonts w:ascii="Arial" w:hAnsi="Arial" w:cs="Arial"/>
          <w:noProof/>
          <w:lang w:eastAsia="en-GB"/>
        </w:rPr>
        <w:t xml:space="preserve"> monitoring </w:t>
      </w:r>
      <w:r w:rsidR="00F7732F">
        <w:rPr>
          <w:rFonts w:ascii="Arial" w:hAnsi="Arial" w:cs="Arial"/>
          <w:noProof/>
          <w:lang w:eastAsia="en-GB"/>
        </w:rPr>
        <w:t xml:space="preserve">the performance of projects in the O&amp;M stage. NE Scotland is also home to the first floating OWFs -- </w:t>
      </w:r>
      <w:r w:rsidR="00F7732F" w:rsidRPr="00461AA0">
        <w:rPr>
          <w:rFonts w:ascii="Arial" w:hAnsi="Arial" w:cs="Arial"/>
          <w:bCs/>
        </w:rPr>
        <w:t xml:space="preserve">the </w:t>
      </w:r>
      <w:r w:rsidR="001F3DD6">
        <w:rPr>
          <w:rFonts w:ascii="Arial" w:hAnsi="Arial" w:cs="Arial"/>
          <w:bCs/>
        </w:rPr>
        <w:t>5x</w:t>
      </w:r>
      <w:r w:rsidR="00F7732F" w:rsidRPr="00461AA0">
        <w:rPr>
          <w:rFonts w:ascii="Arial" w:hAnsi="Arial" w:cs="Arial"/>
          <w:bCs/>
        </w:rPr>
        <w:t>30 MW, floating Hywind Scotland Pilot Park Project (Peterhead) now operational and the Kincardine Offshore Windfarm</w:t>
      </w:r>
      <w:r w:rsidR="00F7732F">
        <w:rPr>
          <w:rFonts w:ascii="Arial" w:hAnsi="Arial" w:cs="Arial"/>
          <w:bCs/>
        </w:rPr>
        <w:t xml:space="preserve">. Details of the Hywind project, largely manufactured in Norway, suggest even more </w:t>
      </w:r>
      <w:r w:rsidR="001F3DD6">
        <w:rPr>
          <w:rFonts w:ascii="Arial" w:hAnsi="Arial" w:cs="Arial"/>
          <w:bCs/>
        </w:rPr>
        <w:t xml:space="preserve">economic </w:t>
      </w:r>
      <w:r w:rsidR="00F7732F">
        <w:rPr>
          <w:rFonts w:ascii="Arial" w:hAnsi="Arial" w:cs="Arial"/>
          <w:bCs/>
        </w:rPr>
        <w:t>leakage. However, they also open the potential for more OWF development in the deeper waters off the Scottish coast (Figure 5).</w:t>
      </w:r>
      <w:r w:rsidR="00BA38CB">
        <w:rPr>
          <w:rFonts w:ascii="Arial" w:hAnsi="Arial" w:cs="Arial"/>
          <w:bCs/>
        </w:rPr>
        <w:t xml:space="preserve"> </w:t>
      </w:r>
      <w:r w:rsidR="00BA38CB" w:rsidRPr="000116BF">
        <w:rPr>
          <w:rFonts w:ascii="Arial" w:hAnsi="Arial" w:cs="Arial"/>
          <w:bCs/>
        </w:rPr>
        <w:t xml:space="preserve">About </w:t>
      </w:r>
      <w:r w:rsidR="00BA38CB" w:rsidRPr="000116BF">
        <w:rPr>
          <w:rFonts w:ascii="Arial" w:hAnsi="Arial" w:cs="Arial"/>
          <w:color w:val="323437"/>
          <w:shd w:val="clear" w:color="auto" w:fill="FFFFFF"/>
        </w:rPr>
        <w:t xml:space="preserve">80% of the </w:t>
      </w:r>
      <w:r w:rsidR="000116BF" w:rsidRPr="000116BF">
        <w:rPr>
          <w:rFonts w:ascii="Arial" w:hAnsi="Arial" w:cs="Arial"/>
          <w:color w:val="323437"/>
          <w:shd w:val="clear" w:color="auto" w:fill="FFFFFF"/>
        </w:rPr>
        <w:t xml:space="preserve">UK </w:t>
      </w:r>
      <w:r w:rsidR="00BA38CB" w:rsidRPr="000116BF">
        <w:rPr>
          <w:rFonts w:ascii="Arial" w:hAnsi="Arial" w:cs="Arial"/>
          <w:color w:val="323437"/>
          <w:shd w:val="clear" w:color="auto" w:fill="FFFFFF"/>
        </w:rPr>
        <w:t>offshore wind resources are in deep waters (more than 60 m) where traditional installations are not suitable</w:t>
      </w:r>
      <w:r w:rsidR="00E86916">
        <w:rPr>
          <w:rFonts w:ascii="Arial" w:hAnsi="Arial" w:cs="Arial"/>
          <w:color w:val="323437"/>
          <w:shd w:val="clear" w:color="auto" w:fill="FFFFFF"/>
        </w:rPr>
        <w:t>.</w:t>
      </w:r>
    </w:p>
    <w:p w:rsidR="00EB2C6A" w:rsidRDefault="00F7732F" w:rsidP="00A85CF0">
      <w:pPr>
        <w:spacing w:after="0" w:line="240" w:lineRule="auto"/>
        <w:rPr>
          <w:rFonts w:ascii="Arial" w:hAnsi="Arial" w:cs="Arial"/>
          <w:b/>
        </w:rPr>
      </w:pPr>
      <w:r w:rsidRPr="00F7732F">
        <w:rPr>
          <w:rFonts w:ascii="Arial" w:hAnsi="Arial" w:cs="Arial"/>
          <w:b/>
        </w:rPr>
        <w:t>References</w:t>
      </w:r>
    </w:p>
    <w:p w:rsidR="003B167C" w:rsidRPr="00A85CF0" w:rsidRDefault="003B167C" w:rsidP="00A85CF0">
      <w:pPr>
        <w:spacing w:after="0" w:line="240" w:lineRule="auto"/>
        <w:rPr>
          <w:rFonts w:ascii="Arial" w:hAnsi="Arial" w:cs="Arial"/>
          <w:sz w:val="20"/>
          <w:szCs w:val="20"/>
        </w:rPr>
      </w:pPr>
      <w:r w:rsidRPr="00A85CF0">
        <w:rPr>
          <w:rFonts w:ascii="Arial" w:hAnsi="Arial" w:cs="Arial"/>
          <w:sz w:val="20"/>
          <w:szCs w:val="20"/>
        </w:rPr>
        <w:t xml:space="preserve">Crown Estate (2018). </w:t>
      </w:r>
      <w:r w:rsidRPr="00A85CF0">
        <w:rPr>
          <w:rFonts w:ascii="Arial" w:hAnsi="Arial" w:cs="Arial"/>
          <w:i/>
          <w:sz w:val="20"/>
          <w:szCs w:val="20"/>
        </w:rPr>
        <w:t>Macroeconomic Benefits of Floating Offshore Wind in the UK</w:t>
      </w:r>
      <w:r w:rsidRPr="00A85CF0">
        <w:rPr>
          <w:rFonts w:ascii="Arial" w:hAnsi="Arial" w:cs="Arial"/>
          <w:sz w:val="20"/>
          <w:szCs w:val="20"/>
        </w:rPr>
        <w:t>.</w:t>
      </w:r>
    </w:p>
    <w:p w:rsidR="00DC088B" w:rsidRPr="00A85CF0" w:rsidRDefault="00DC088B" w:rsidP="00A85CF0">
      <w:pPr>
        <w:spacing w:after="0" w:line="240" w:lineRule="auto"/>
        <w:rPr>
          <w:rFonts w:ascii="Arial" w:hAnsi="Arial" w:cs="Arial"/>
          <w:sz w:val="20"/>
          <w:szCs w:val="20"/>
        </w:rPr>
      </w:pPr>
      <w:r w:rsidRPr="00A85CF0">
        <w:rPr>
          <w:rFonts w:ascii="Arial" w:hAnsi="Arial" w:cs="Arial"/>
          <w:sz w:val="20"/>
          <w:szCs w:val="20"/>
        </w:rPr>
        <w:t xml:space="preserve">Firestone J, Kempton W and Lilley M B and Samoteskul K (2012). Public acceptance of offshore wind power: does perceived fairness of process matter. </w:t>
      </w:r>
      <w:hyperlink r:id="rId15" w:history="1">
        <w:r w:rsidRPr="00A85CF0">
          <w:rPr>
            <w:rFonts w:ascii="Arial" w:hAnsi="Arial" w:cs="Arial"/>
            <w:i/>
            <w:sz w:val="20"/>
            <w:szCs w:val="20"/>
          </w:rPr>
          <w:t>Journal of Environmental Planning and Management</w:t>
        </w:r>
      </w:hyperlink>
      <w:r w:rsidRPr="00A85CF0">
        <w:rPr>
          <w:rFonts w:ascii="Arial" w:hAnsi="Arial" w:cs="Arial"/>
          <w:sz w:val="20"/>
          <w:szCs w:val="20"/>
        </w:rPr>
        <w:t>, 55, 10, pp1387-1402</w:t>
      </w:r>
    </w:p>
    <w:p w:rsidR="003B167C" w:rsidRPr="00A85CF0" w:rsidRDefault="00DC088B" w:rsidP="00A85CF0">
      <w:pPr>
        <w:spacing w:after="0" w:line="240" w:lineRule="auto"/>
        <w:rPr>
          <w:rFonts w:ascii="Arial" w:hAnsi="Arial" w:cs="Arial"/>
          <w:sz w:val="20"/>
          <w:szCs w:val="20"/>
        </w:rPr>
      </w:pPr>
      <w:r w:rsidRPr="00A85CF0">
        <w:rPr>
          <w:rFonts w:ascii="Arial" w:hAnsi="Arial" w:cs="Arial"/>
          <w:bCs/>
          <w:sz w:val="20"/>
          <w:szCs w:val="20"/>
          <w:lang w:val="en"/>
        </w:rPr>
        <w:t xml:space="preserve">Haggett, C (2017). </w:t>
      </w:r>
      <w:r w:rsidRPr="00A85CF0">
        <w:rPr>
          <w:rFonts w:ascii="Arial" w:hAnsi="Arial" w:cs="Arial"/>
          <w:bCs/>
          <w:i/>
          <w:sz w:val="20"/>
          <w:szCs w:val="20"/>
          <w:lang w:val="en"/>
        </w:rPr>
        <w:t>EOWDC Community Benefits Baseline Study</w:t>
      </w:r>
      <w:r w:rsidRPr="00A85CF0">
        <w:rPr>
          <w:rFonts w:ascii="Arial" w:hAnsi="Arial" w:cs="Arial"/>
          <w:bCs/>
          <w:sz w:val="20"/>
          <w:szCs w:val="20"/>
          <w:lang w:val="en"/>
        </w:rPr>
        <w:t>. University of Edinburgh.</w:t>
      </w:r>
    </w:p>
    <w:p w:rsidR="00DC088B" w:rsidRPr="00A85CF0" w:rsidRDefault="00DC088B" w:rsidP="00A85CF0">
      <w:pPr>
        <w:spacing w:after="0" w:line="240" w:lineRule="auto"/>
        <w:rPr>
          <w:rFonts w:ascii="Arial" w:hAnsi="Arial" w:cs="Arial"/>
          <w:sz w:val="20"/>
          <w:szCs w:val="20"/>
        </w:rPr>
      </w:pPr>
      <w:r w:rsidRPr="00A85CF0">
        <w:rPr>
          <w:rFonts w:ascii="Arial" w:hAnsi="Arial" w:cs="Arial"/>
          <w:sz w:val="20"/>
          <w:szCs w:val="20"/>
        </w:rPr>
        <w:t xml:space="preserve">Hattam C, Hooper T and Papathanasopoulou, E (2015). </w:t>
      </w:r>
      <w:r w:rsidRPr="00A85CF0">
        <w:rPr>
          <w:rFonts w:ascii="Arial" w:hAnsi="Arial" w:cs="Arial"/>
          <w:i/>
          <w:sz w:val="20"/>
          <w:szCs w:val="20"/>
        </w:rPr>
        <w:t>Understanding the Impacts of Offshore Wind Farms on Well-Being,</w:t>
      </w:r>
      <w:r w:rsidRPr="00A85CF0">
        <w:rPr>
          <w:rFonts w:ascii="Arial" w:hAnsi="Arial" w:cs="Arial"/>
          <w:sz w:val="20"/>
          <w:szCs w:val="20"/>
        </w:rPr>
        <w:t xml:space="preserve"> Marine Research Report, Crown Estate</w:t>
      </w:r>
    </w:p>
    <w:p w:rsidR="003B167C" w:rsidRPr="00A85CF0" w:rsidRDefault="00DC088B" w:rsidP="00A85CF0">
      <w:pPr>
        <w:spacing w:after="0" w:line="240" w:lineRule="auto"/>
        <w:rPr>
          <w:rFonts w:ascii="Arial" w:hAnsi="Arial" w:cs="Arial"/>
          <w:sz w:val="20"/>
          <w:szCs w:val="20"/>
        </w:rPr>
      </w:pPr>
      <w:r w:rsidRPr="00A85CF0">
        <w:rPr>
          <w:rFonts w:ascii="Arial" w:hAnsi="Arial" w:cs="Arial"/>
          <w:sz w:val="20"/>
          <w:szCs w:val="20"/>
        </w:rPr>
        <w:t xml:space="preserve">NEF (New Economics Foundation) Consulting (2017). </w:t>
      </w:r>
      <w:r w:rsidRPr="00A85CF0">
        <w:rPr>
          <w:rFonts w:ascii="Arial" w:hAnsi="Arial" w:cs="Arial"/>
          <w:i/>
          <w:sz w:val="20"/>
          <w:szCs w:val="20"/>
        </w:rPr>
        <w:t>SSE—Beatrice Social Return on Investment (SROI) framework</w:t>
      </w:r>
      <w:r w:rsidRPr="00A85CF0">
        <w:rPr>
          <w:rFonts w:ascii="Arial" w:hAnsi="Arial" w:cs="Arial"/>
          <w:sz w:val="20"/>
          <w:szCs w:val="20"/>
        </w:rPr>
        <w:t>, NEF: London</w:t>
      </w:r>
    </w:p>
    <w:p w:rsidR="00DC088B" w:rsidRPr="00A85CF0" w:rsidRDefault="00DC088B" w:rsidP="00A85CF0">
      <w:pPr>
        <w:spacing w:after="0" w:line="240" w:lineRule="auto"/>
        <w:jc w:val="both"/>
        <w:rPr>
          <w:rFonts w:ascii="Arial" w:hAnsi="Arial" w:cs="Arial"/>
          <w:sz w:val="20"/>
          <w:szCs w:val="20"/>
        </w:rPr>
      </w:pPr>
      <w:r w:rsidRPr="00A85CF0">
        <w:rPr>
          <w:rFonts w:ascii="Arial" w:hAnsi="Arial" w:cs="Arial"/>
          <w:sz w:val="20"/>
          <w:szCs w:val="20"/>
        </w:rPr>
        <w:t xml:space="preserve">RenewablesUK (2017). </w:t>
      </w:r>
      <w:r w:rsidRPr="00A85CF0">
        <w:rPr>
          <w:rFonts w:ascii="Arial" w:hAnsi="Arial" w:cs="Arial"/>
          <w:i/>
          <w:sz w:val="20"/>
          <w:szCs w:val="20"/>
        </w:rPr>
        <w:t>Offshore Wind Industry Investment in the UK: 2017 Report on offshore wind UK content.</w:t>
      </w:r>
      <w:r w:rsidRPr="00A85CF0">
        <w:rPr>
          <w:rFonts w:ascii="Arial" w:hAnsi="Arial" w:cs="Arial"/>
          <w:sz w:val="20"/>
          <w:szCs w:val="20"/>
        </w:rPr>
        <w:t xml:space="preserve"> RenewableUK </w:t>
      </w:r>
    </w:p>
    <w:p w:rsidR="00DC088B" w:rsidRPr="00A85CF0" w:rsidRDefault="00DC088B" w:rsidP="00A85CF0">
      <w:pPr>
        <w:spacing w:after="0" w:line="240" w:lineRule="auto"/>
        <w:rPr>
          <w:rFonts w:ascii="Arial" w:hAnsi="Arial" w:cs="Arial"/>
          <w:sz w:val="20"/>
          <w:szCs w:val="20"/>
        </w:rPr>
      </w:pPr>
      <w:r w:rsidRPr="00A85CF0">
        <w:rPr>
          <w:rFonts w:ascii="Arial" w:hAnsi="Arial" w:cs="Arial"/>
          <w:sz w:val="20"/>
          <w:szCs w:val="20"/>
        </w:rPr>
        <w:t xml:space="preserve">Wiersma B and Devine-Wright P (2014). Public engagement with offshore renewable energy: A critical review, </w:t>
      </w:r>
      <w:r w:rsidRPr="00A85CF0">
        <w:rPr>
          <w:rFonts w:ascii="Arial" w:hAnsi="Arial" w:cs="Arial"/>
          <w:i/>
          <w:sz w:val="20"/>
          <w:szCs w:val="20"/>
        </w:rPr>
        <w:t>Wiley’s Interdisciplinary Reviews: Climate Change</w:t>
      </w:r>
      <w:r w:rsidRPr="00A85CF0">
        <w:rPr>
          <w:rFonts w:ascii="Arial" w:hAnsi="Arial" w:cs="Arial"/>
          <w:sz w:val="20"/>
          <w:szCs w:val="20"/>
        </w:rPr>
        <w:t>, 5, 4, pp.493-507</w:t>
      </w:r>
    </w:p>
    <w:p w:rsidR="00DC088B" w:rsidRPr="00A85CF0" w:rsidRDefault="003B167C" w:rsidP="00A85CF0">
      <w:pPr>
        <w:spacing w:after="0" w:line="240" w:lineRule="auto"/>
        <w:jc w:val="both"/>
        <w:rPr>
          <w:rFonts w:ascii="Arial" w:hAnsi="Arial" w:cs="Arial"/>
          <w:noProof/>
          <w:sz w:val="20"/>
          <w:szCs w:val="20"/>
        </w:rPr>
      </w:pPr>
      <w:r w:rsidRPr="00A85CF0">
        <w:rPr>
          <w:rFonts w:ascii="Arial" w:hAnsi="Arial" w:cs="Arial"/>
          <w:sz w:val="20"/>
          <w:szCs w:val="20"/>
        </w:rPr>
        <w:t>WindEurope (2018).</w:t>
      </w:r>
      <w:r w:rsidR="00DC088B" w:rsidRPr="00A85CF0">
        <w:rPr>
          <w:rFonts w:ascii="Arial" w:hAnsi="Arial" w:cs="Arial"/>
          <w:sz w:val="20"/>
          <w:szCs w:val="20"/>
        </w:rPr>
        <w:t xml:space="preserve"> </w:t>
      </w:r>
      <w:r w:rsidR="00DC088B" w:rsidRPr="00A85CF0">
        <w:rPr>
          <w:rFonts w:ascii="Arial" w:hAnsi="Arial" w:cs="Arial"/>
          <w:i/>
          <w:noProof/>
          <w:sz w:val="20"/>
          <w:szCs w:val="20"/>
        </w:rPr>
        <w:t xml:space="preserve">Offshore Wind in Europe—Key trends and statistics 2017. </w:t>
      </w:r>
      <w:r w:rsidR="00DC088B" w:rsidRPr="00A85CF0">
        <w:rPr>
          <w:rFonts w:ascii="Arial" w:hAnsi="Arial" w:cs="Arial"/>
          <w:noProof/>
          <w:sz w:val="20"/>
          <w:szCs w:val="20"/>
        </w:rPr>
        <w:t>Brussels:Wind Europe.</w:t>
      </w:r>
    </w:p>
    <w:p w:rsidR="003B167C" w:rsidRPr="00A85CF0" w:rsidRDefault="003B167C" w:rsidP="00A85CF0">
      <w:pPr>
        <w:spacing w:after="0" w:line="240" w:lineRule="auto"/>
        <w:rPr>
          <w:rFonts w:ascii="Arial" w:hAnsi="Arial" w:cs="Arial"/>
          <w:sz w:val="20"/>
          <w:szCs w:val="20"/>
        </w:rPr>
      </w:pPr>
    </w:p>
    <w:p w:rsidR="003B167C" w:rsidRPr="00A85CF0" w:rsidRDefault="003B167C" w:rsidP="00A85CF0">
      <w:pPr>
        <w:spacing w:after="0" w:line="240" w:lineRule="auto"/>
        <w:rPr>
          <w:rFonts w:ascii="Arial" w:hAnsi="Arial" w:cs="Arial"/>
          <w:sz w:val="20"/>
          <w:szCs w:val="20"/>
        </w:rPr>
      </w:pPr>
    </w:p>
    <w:p w:rsidR="00DC088B" w:rsidRPr="00A85CF0" w:rsidRDefault="00DC088B" w:rsidP="00A85CF0">
      <w:pPr>
        <w:spacing w:after="0" w:line="240" w:lineRule="auto"/>
        <w:ind w:left="360" w:hanging="360"/>
        <w:rPr>
          <w:rFonts w:ascii="Arial" w:hAnsi="Arial" w:cs="Arial"/>
          <w:bCs/>
          <w:sz w:val="18"/>
          <w:szCs w:val="18"/>
          <w:lang w:val="en"/>
        </w:rPr>
      </w:pPr>
    </w:p>
    <w:sectPr w:rsidR="00DC088B" w:rsidRPr="00A85CF0" w:rsidSect="003524DA">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07" w:rsidRDefault="00A74207" w:rsidP="00A74207">
      <w:pPr>
        <w:spacing w:after="0" w:line="240" w:lineRule="auto"/>
      </w:pPr>
      <w:r>
        <w:separator/>
      </w:r>
    </w:p>
  </w:endnote>
  <w:endnote w:type="continuationSeparator" w:id="0">
    <w:p w:rsidR="00A74207" w:rsidRDefault="00A74207" w:rsidP="00A7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99193"/>
      <w:docPartObj>
        <w:docPartGallery w:val="Page Numbers (Bottom of Page)"/>
        <w:docPartUnique/>
      </w:docPartObj>
    </w:sdtPr>
    <w:sdtEndPr>
      <w:rPr>
        <w:noProof/>
      </w:rPr>
    </w:sdtEndPr>
    <w:sdtContent>
      <w:p w:rsidR="00A74207" w:rsidRDefault="00A74207">
        <w:pPr>
          <w:pStyle w:val="Footer"/>
          <w:jc w:val="center"/>
        </w:pPr>
        <w:r>
          <w:fldChar w:fldCharType="begin"/>
        </w:r>
        <w:r>
          <w:instrText xml:space="preserve"> PAGE   \* MERGEFORMAT </w:instrText>
        </w:r>
        <w:r>
          <w:fldChar w:fldCharType="separate"/>
        </w:r>
        <w:r w:rsidR="00EC52D6">
          <w:rPr>
            <w:noProof/>
          </w:rPr>
          <w:t>6</w:t>
        </w:r>
        <w:r>
          <w:rPr>
            <w:noProof/>
          </w:rPr>
          <w:fldChar w:fldCharType="end"/>
        </w:r>
      </w:p>
    </w:sdtContent>
  </w:sdt>
  <w:p w:rsidR="00A74207" w:rsidRDefault="00A7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07" w:rsidRDefault="00A74207" w:rsidP="00A74207">
      <w:pPr>
        <w:spacing w:after="0" w:line="240" w:lineRule="auto"/>
      </w:pPr>
      <w:r>
        <w:separator/>
      </w:r>
    </w:p>
  </w:footnote>
  <w:footnote w:type="continuationSeparator" w:id="0">
    <w:p w:rsidR="00A74207" w:rsidRDefault="00A74207" w:rsidP="00A74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641C"/>
    <w:multiLevelType w:val="hybridMultilevel"/>
    <w:tmpl w:val="C100AD0C"/>
    <w:lvl w:ilvl="0" w:tplc="36DABC80">
      <w:start w:val="1"/>
      <w:numFmt w:val="bullet"/>
      <w:lvlText w:val="•"/>
      <w:lvlJc w:val="left"/>
      <w:pPr>
        <w:tabs>
          <w:tab w:val="num" w:pos="720"/>
        </w:tabs>
        <w:ind w:left="720" w:hanging="360"/>
      </w:pPr>
      <w:rPr>
        <w:rFonts w:ascii="Arial" w:hAnsi="Arial" w:hint="default"/>
      </w:rPr>
    </w:lvl>
    <w:lvl w:ilvl="1" w:tplc="13C82D7E" w:tentative="1">
      <w:start w:val="1"/>
      <w:numFmt w:val="bullet"/>
      <w:lvlText w:val="•"/>
      <w:lvlJc w:val="left"/>
      <w:pPr>
        <w:tabs>
          <w:tab w:val="num" w:pos="1440"/>
        </w:tabs>
        <w:ind w:left="1440" w:hanging="360"/>
      </w:pPr>
      <w:rPr>
        <w:rFonts w:ascii="Arial" w:hAnsi="Arial" w:hint="default"/>
      </w:rPr>
    </w:lvl>
    <w:lvl w:ilvl="2" w:tplc="C2D4DA6A" w:tentative="1">
      <w:start w:val="1"/>
      <w:numFmt w:val="bullet"/>
      <w:lvlText w:val="•"/>
      <w:lvlJc w:val="left"/>
      <w:pPr>
        <w:tabs>
          <w:tab w:val="num" w:pos="2160"/>
        </w:tabs>
        <w:ind w:left="2160" w:hanging="360"/>
      </w:pPr>
      <w:rPr>
        <w:rFonts w:ascii="Arial" w:hAnsi="Arial" w:hint="default"/>
      </w:rPr>
    </w:lvl>
    <w:lvl w:ilvl="3" w:tplc="8F227678" w:tentative="1">
      <w:start w:val="1"/>
      <w:numFmt w:val="bullet"/>
      <w:lvlText w:val="•"/>
      <w:lvlJc w:val="left"/>
      <w:pPr>
        <w:tabs>
          <w:tab w:val="num" w:pos="2880"/>
        </w:tabs>
        <w:ind w:left="2880" w:hanging="360"/>
      </w:pPr>
      <w:rPr>
        <w:rFonts w:ascii="Arial" w:hAnsi="Arial" w:hint="default"/>
      </w:rPr>
    </w:lvl>
    <w:lvl w:ilvl="4" w:tplc="46968050" w:tentative="1">
      <w:start w:val="1"/>
      <w:numFmt w:val="bullet"/>
      <w:lvlText w:val="•"/>
      <w:lvlJc w:val="left"/>
      <w:pPr>
        <w:tabs>
          <w:tab w:val="num" w:pos="3600"/>
        </w:tabs>
        <w:ind w:left="3600" w:hanging="360"/>
      </w:pPr>
      <w:rPr>
        <w:rFonts w:ascii="Arial" w:hAnsi="Arial" w:hint="default"/>
      </w:rPr>
    </w:lvl>
    <w:lvl w:ilvl="5" w:tplc="E8988B3E" w:tentative="1">
      <w:start w:val="1"/>
      <w:numFmt w:val="bullet"/>
      <w:lvlText w:val="•"/>
      <w:lvlJc w:val="left"/>
      <w:pPr>
        <w:tabs>
          <w:tab w:val="num" w:pos="4320"/>
        </w:tabs>
        <w:ind w:left="4320" w:hanging="360"/>
      </w:pPr>
      <w:rPr>
        <w:rFonts w:ascii="Arial" w:hAnsi="Arial" w:hint="default"/>
      </w:rPr>
    </w:lvl>
    <w:lvl w:ilvl="6" w:tplc="3F86557C" w:tentative="1">
      <w:start w:val="1"/>
      <w:numFmt w:val="bullet"/>
      <w:lvlText w:val="•"/>
      <w:lvlJc w:val="left"/>
      <w:pPr>
        <w:tabs>
          <w:tab w:val="num" w:pos="5040"/>
        </w:tabs>
        <w:ind w:left="5040" w:hanging="360"/>
      </w:pPr>
      <w:rPr>
        <w:rFonts w:ascii="Arial" w:hAnsi="Arial" w:hint="default"/>
      </w:rPr>
    </w:lvl>
    <w:lvl w:ilvl="7" w:tplc="102E35F2" w:tentative="1">
      <w:start w:val="1"/>
      <w:numFmt w:val="bullet"/>
      <w:lvlText w:val="•"/>
      <w:lvlJc w:val="left"/>
      <w:pPr>
        <w:tabs>
          <w:tab w:val="num" w:pos="5760"/>
        </w:tabs>
        <w:ind w:left="5760" w:hanging="360"/>
      </w:pPr>
      <w:rPr>
        <w:rFonts w:ascii="Arial" w:hAnsi="Arial" w:hint="default"/>
      </w:rPr>
    </w:lvl>
    <w:lvl w:ilvl="8" w:tplc="E390C2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8F1046"/>
    <w:multiLevelType w:val="hybridMultilevel"/>
    <w:tmpl w:val="241E0AEC"/>
    <w:lvl w:ilvl="0" w:tplc="49D616D4">
      <w:start w:val="1"/>
      <w:numFmt w:val="bullet"/>
      <w:lvlText w:val="•"/>
      <w:lvlJc w:val="left"/>
      <w:pPr>
        <w:tabs>
          <w:tab w:val="num" w:pos="720"/>
        </w:tabs>
        <w:ind w:left="720" w:hanging="360"/>
      </w:pPr>
      <w:rPr>
        <w:rFonts w:ascii="Arial" w:hAnsi="Arial" w:hint="default"/>
      </w:rPr>
    </w:lvl>
    <w:lvl w:ilvl="1" w:tplc="349CA8B6" w:tentative="1">
      <w:start w:val="1"/>
      <w:numFmt w:val="bullet"/>
      <w:lvlText w:val="•"/>
      <w:lvlJc w:val="left"/>
      <w:pPr>
        <w:tabs>
          <w:tab w:val="num" w:pos="1440"/>
        </w:tabs>
        <w:ind w:left="1440" w:hanging="360"/>
      </w:pPr>
      <w:rPr>
        <w:rFonts w:ascii="Arial" w:hAnsi="Arial" w:hint="default"/>
      </w:rPr>
    </w:lvl>
    <w:lvl w:ilvl="2" w:tplc="E41CCA70" w:tentative="1">
      <w:start w:val="1"/>
      <w:numFmt w:val="bullet"/>
      <w:lvlText w:val="•"/>
      <w:lvlJc w:val="left"/>
      <w:pPr>
        <w:tabs>
          <w:tab w:val="num" w:pos="2160"/>
        </w:tabs>
        <w:ind w:left="2160" w:hanging="360"/>
      </w:pPr>
      <w:rPr>
        <w:rFonts w:ascii="Arial" w:hAnsi="Arial" w:hint="default"/>
      </w:rPr>
    </w:lvl>
    <w:lvl w:ilvl="3" w:tplc="CDF836D0" w:tentative="1">
      <w:start w:val="1"/>
      <w:numFmt w:val="bullet"/>
      <w:lvlText w:val="•"/>
      <w:lvlJc w:val="left"/>
      <w:pPr>
        <w:tabs>
          <w:tab w:val="num" w:pos="2880"/>
        </w:tabs>
        <w:ind w:left="2880" w:hanging="360"/>
      </w:pPr>
      <w:rPr>
        <w:rFonts w:ascii="Arial" w:hAnsi="Arial" w:hint="default"/>
      </w:rPr>
    </w:lvl>
    <w:lvl w:ilvl="4" w:tplc="10B8D2A6" w:tentative="1">
      <w:start w:val="1"/>
      <w:numFmt w:val="bullet"/>
      <w:lvlText w:val="•"/>
      <w:lvlJc w:val="left"/>
      <w:pPr>
        <w:tabs>
          <w:tab w:val="num" w:pos="3600"/>
        </w:tabs>
        <w:ind w:left="3600" w:hanging="360"/>
      </w:pPr>
      <w:rPr>
        <w:rFonts w:ascii="Arial" w:hAnsi="Arial" w:hint="default"/>
      </w:rPr>
    </w:lvl>
    <w:lvl w:ilvl="5" w:tplc="E41EEE86" w:tentative="1">
      <w:start w:val="1"/>
      <w:numFmt w:val="bullet"/>
      <w:lvlText w:val="•"/>
      <w:lvlJc w:val="left"/>
      <w:pPr>
        <w:tabs>
          <w:tab w:val="num" w:pos="4320"/>
        </w:tabs>
        <w:ind w:left="4320" w:hanging="360"/>
      </w:pPr>
      <w:rPr>
        <w:rFonts w:ascii="Arial" w:hAnsi="Arial" w:hint="default"/>
      </w:rPr>
    </w:lvl>
    <w:lvl w:ilvl="6" w:tplc="48DEE554" w:tentative="1">
      <w:start w:val="1"/>
      <w:numFmt w:val="bullet"/>
      <w:lvlText w:val="•"/>
      <w:lvlJc w:val="left"/>
      <w:pPr>
        <w:tabs>
          <w:tab w:val="num" w:pos="5040"/>
        </w:tabs>
        <w:ind w:left="5040" w:hanging="360"/>
      </w:pPr>
      <w:rPr>
        <w:rFonts w:ascii="Arial" w:hAnsi="Arial" w:hint="default"/>
      </w:rPr>
    </w:lvl>
    <w:lvl w:ilvl="7" w:tplc="70EA4A80" w:tentative="1">
      <w:start w:val="1"/>
      <w:numFmt w:val="bullet"/>
      <w:lvlText w:val="•"/>
      <w:lvlJc w:val="left"/>
      <w:pPr>
        <w:tabs>
          <w:tab w:val="num" w:pos="5760"/>
        </w:tabs>
        <w:ind w:left="5760" w:hanging="360"/>
      </w:pPr>
      <w:rPr>
        <w:rFonts w:ascii="Arial" w:hAnsi="Arial" w:hint="default"/>
      </w:rPr>
    </w:lvl>
    <w:lvl w:ilvl="8" w:tplc="9CCCB9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482554"/>
    <w:multiLevelType w:val="hybridMultilevel"/>
    <w:tmpl w:val="8612F12A"/>
    <w:lvl w:ilvl="0" w:tplc="92F2E5A2">
      <w:start w:val="1"/>
      <w:numFmt w:val="bullet"/>
      <w:lvlText w:val="•"/>
      <w:lvlJc w:val="left"/>
      <w:pPr>
        <w:tabs>
          <w:tab w:val="num" w:pos="720"/>
        </w:tabs>
        <w:ind w:left="720" w:hanging="360"/>
      </w:pPr>
      <w:rPr>
        <w:rFonts w:ascii="Arial" w:hAnsi="Arial" w:hint="default"/>
      </w:rPr>
    </w:lvl>
    <w:lvl w:ilvl="1" w:tplc="F4F02DB2" w:tentative="1">
      <w:start w:val="1"/>
      <w:numFmt w:val="bullet"/>
      <w:lvlText w:val="•"/>
      <w:lvlJc w:val="left"/>
      <w:pPr>
        <w:tabs>
          <w:tab w:val="num" w:pos="1440"/>
        </w:tabs>
        <w:ind w:left="1440" w:hanging="360"/>
      </w:pPr>
      <w:rPr>
        <w:rFonts w:ascii="Arial" w:hAnsi="Arial" w:hint="default"/>
      </w:rPr>
    </w:lvl>
    <w:lvl w:ilvl="2" w:tplc="5030CA78" w:tentative="1">
      <w:start w:val="1"/>
      <w:numFmt w:val="bullet"/>
      <w:lvlText w:val="•"/>
      <w:lvlJc w:val="left"/>
      <w:pPr>
        <w:tabs>
          <w:tab w:val="num" w:pos="2160"/>
        </w:tabs>
        <w:ind w:left="2160" w:hanging="360"/>
      </w:pPr>
      <w:rPr>
        <w:rFonts w:ascii="Arial" w:hAnsi="Arial" w:hint="default"/>
      </w:rPr>
    </w:lvl>
    <w:lvl w:ilvl="3" w:tplc="066CCA50" w:tentative="1">
      <w:start w:val="1"/>
      <w:numFmt w:val="bullet"/>
      <w:lvlText w:val="•"/>
      <w:lvlJc w:val="left"/>
      <w:pPr>
        <w:tabs>
          <w:tab w:val="num" w:pos="2880"/>
        </w:tabs>
        <w:ind w:left="2880" w:hanging="360"/>
      </w:pPr>
      <w:rPr>
        <w:rFonts w:ascii="Arial" w:hAnsi="Arial" w:hint="default"/>
      </w:rPr>
    </w:lvl>
    <w:lvl w:ilvl="4" w:tplc="FF668380" w:tentative="1">
      <w:start w:val="1"/>
      <w:numFmt w:val="bullet"/>
      <w:lvlText w:val="•"/>
      <w:lvlJc w:val="left"/>
      <w:pPr>
        <w:tabs>
          <w:tab w:val="num" w:pos="3600"/>
        </w:tabs>
        <w:ind w:left="3600" w:hanging="360"/>
      </w:pPr>
      <w:rPr>
        <w:rFonts w:ascii="Arial" w:hAnsi="Arial" w:hint="default"/>
      </w:rPr>
    </w:lvl>
    <w:lvl w:ilvl="5" w:tplc="6932FF52" w:tentative="1">
      <w:start w:val="1"/>
      <w:numFmt w:val="bullet"/>
      <w:lvlText w:val="•"/>
      <w:lvlJc w:val="left"/>
      <w:pPr>
        <w:tabs>
          <w:tab w:val="num" w:pos="4320"/>
        </w:tabs>
        <w:ind w:left="4320" w:hanging="360"/>
      </w:pPr>
      <w:rPr>
        <w:rFonts w:ascii="Arial" w:hAnsi="Arial" w:hint="default"/>
      </w:rPr>
    </w:lvl>
    <w:lvl w:ilvl="6" w:tplc="825C6130" w:tentative="1">
      <w:start w:val="1"/>
      <w:numFmt w:val="bullet"/>
      <w:lvlText w:val="•"/>
      <w:lvlJc w:val="left"/>
      <w:pPr>
        <w:tabs>
          <w:tab w:val="num" w:pos="5040"/>
        </w:tabs>
        <w:ind w:left="5040" w:hanging="360"/>
      </w:pPr>
      <w:rPr>
        <w:rFonts w:ascii="Arial" w:hAnsi="Arial" w:hint="default"/>
      </w:rPr>
    </w:lvl>
    <w:lvl w:ilvl="7" w:tplc="CF5820FC" w:tentative="1">
      <w:start w:val="1"/>
      <w:numFmt w:val="bullet"/>
      <w:lvlText w:val="•"/>
      <w:lvlJc w:val="left"/>
      <w:pPr>
        <w:tabs>
          <w:tab w:val="num" w:pos="5760"/>
        </w:tabs>
        <w:ind w:left="5760" w:hanging="360"/>
      </w:pPr>
      <w:rPr>
        <w:rFonts w:ascii="Arial" w:hAnsi="Arial" w:hint="default"/>
      </w:rPr>
    </w:lvl>
    <w:lvl w:ilvl="8" w:tplc="BC523A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3A5759"/>
    <w:multiLevelType w:val="hybridMultilevel"/>
    <w:tmpl w:val="4F2EF096"/>
    <w:lvl w:ilvl="0" w:tplc="534A9A88">
      <w:start w:val="1"/>
      <w:numFmt w:val="bullet"/>
      <w:lvlText w:val="•"/>
      <w:lvlJc w:val="left"/>
      <w:pPr>
        <w:tabs>
          <w:tab w:val="num" w:pos="720"/>
        </w:tabs>
        <w:ind w:left="720" w:hanging="360"/>
      </w:pPr>
      <w:rPr>
        <w:rFonts w:ascii="Arial" w:hAnsi="Arial" w:hint="default"/>
      </w:rPr>
    </w:lvl>
    <w:lvl w:ilvl="1" w:tplc="F592947E" w:tentative="1">
      <w:start w:val="1"/>
      <w:numFmt w:val="bullet"/>
      <w:lvlText w:val="•"/>
      <w:lvlJc w:val="left"/>
      <w:pPr>
        <w:tabs>
          <w:tab w:val="num" w:pos="1440"/>
        </w:tabs>
        <w:ind w:left="1440" w:hanging="360"/>
      </w:pPr>
      <w:rPr>
        <w:rFonts w:ascii="Arial" w:hAnsi="Arial" w:hint="default"/>
      </w:rPr>
    </w:lvl>
    <w:lvl w:ilvl="2" w:tplc="268AD9D2" w:tentative="1">
      <w:start w:val="1"/>
      <w:numFmt w:val="bullet"/>
      <w:lvlText w:val="•"/>
      <w:lvlJc w:val="left"/>
      <w:pPr>
        <w:tabs>
          <w:tab w:val="num" w:pos="2160"/>
        </w:tabs>
        <w:ind w:left="2160" w:hanging="360"/>
      </w:pPr>
      <w:rPr>
        <w:rFonts w:ascii="Arial" w:hAnsi="Arial" w:hint="default"/>
      </w:rPr>
    </w:lvl>
    <w:lvl w:ilvl="3" w:tplc="DA768332" w:tentative="1">
      <w:start w:val="1"/>
      <w:numFmt w:val="bullet"/>
      <w:lvlText w:val="•"/>
      <w:lvlJc w:val="left"/>
      <w:pPr>
        <w:tabs>
          <w:tab w:val="num" w:pos="2880"/>
        </w:tabs>
        <w:ind w:left="2880" w:hanging="360"/>
      </w:pPr>
      <w:rPr>
        <w:rFonts w:ascii="Arial" w:hAnsi="Arial" w:hint="default"/>
      </w:rPr>
    </w:lvl>
    <w:lvl w:ilvl="4" w:tplc="BB52B256" w:tentative="1">
      <w:start w:val="1"/>
      <w:numFmt w:val="bullet"/>
      <w:lvlText w:val="•"/>
      <w:lvlJc w:val="left"/>
      <w:pPr>
        <w:tabs>
          <w:tab w:val="num" w:pos="3600"/>
        </w:tabs>
        <w:ind w:left="3600" w:hanging="360"/>
      </w:pPr>
      <w:rPr>
        <w:rFonts w:ascii="Arial" w:hAnsi="Arial" w:hint="default"/>
      </w:rPr>
    </w:lvl>
    <w:lvl w:ilvl="5" w:tplc="41860512" w:tentative="1">
      <w:start w:val="1"/>
      <w:numFmt w:val="bullet"/>
      <w:lvlText w:val="•"/>
      <w:lvlJc w:val="left"/>
      <w:pPr>
        <w:tabs>
          <w:tab w:val="num" w:pos="4320"/>
        </w:tabs>
        <w:ind w:left="4320" w:hanging="360"/>
      </w:pPr>
      <w:rPr>
        <w:rFonts w:ascii="Arial" w:hAnsi="Arial" w:hint="default"/>
      </w:rPr>
    </w:lvl>
    <w:lvl w:ilvl="6" w:tplc="EBC6BC0C" w:tentative="1">
      <w:start w:val="1"/>
      <w:numFmt w:val="bullet"/>
      <w:lvlText w:val="•"/>
      <w:lvlJc w:val="left"/>
      <w:pPr>
        <w:tabs>
          <w:tab w:val="num" w:pos="5040"/>
        </w:tabs>
        <w:ind w:left="5040" w:hanging="360"/>
      </w:pPr>
      <w:rPr>
        <w:rFonts w:ascii="Arial" w:hAnsi="Arial" w:hint="default"/>
      </w:rPr>
    </w:lvl>
    <w:lvl w:ilvl="7" w:tplc="A56C9780" w:tentative="1">
      <w:start w:val="1"/>
      <w:numFmt w:val="bullet"/>
      <w:lvlText w:val="•"/>
      <w:lvlJc w:val="left"/>
      <w:pPr>
        <w:tabs>
          <w:tab w:val="num" w:pos="5760"/>
        </w:tabs>
        <w:ind w:left="5760" w:hanging="360"/>
      </w:pPr>
      <w:rPr>
        <w:rFonts w:ascii="Arial" w:hAnsi="Arial" w:hint="default"/>
      </w:rPr>
    </w:lvl>
    <w:lvl w:ilvl="8" w:tplc="A6A0FC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766DC6"/>
    <w:multiLevelType w:val="hybridMultilevel"/>
    <w:tmpl w:val="422AC0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5C83DE1"/>
    <w:multiLevelType w:val="hybridMultilevel"/>
    <w:tmpl w:val="4F2EF096"/>
    <w:lvl w:ilvl="0" w:tplc="534A9A88">
      <w:start w:val="1"/>
      <w:numFmt w:val="bullet"/>
      <w:lvlText w:val="•"/>
      <w:lvlJc w:val="left"/>
      <w:pPr>
        <w:tabs>
          <w:tab w:val="num" w:pos="720"/>
        </w:tabs>
        <w:ind w:left="720" w:hanging="360"/>
      </w:pPr>
      <w:rPr>
        <w:rFonts w:ascii="Arial" w:hAnsi="Arial" w:hint="default"/>
      </w:rPr>
    </w:lvl>
    <w:lvl w:ilvl="1" w:tplc="F592947E" w:tentative="1">
      <w:start w:val="1"/>
      <w:numFmt w:val="bullet"/>
      <w:lvlText w:val="•"/>
      <w:lvlJc w:val="left"/>
      <w:pPr>
        <w:tabs>
          <w:tab w:val="num" w:pos="1440"/>
        </w:tabs>
        <w:ind w:left="1440" w:hanging="360"/>
      </w:pPr>
      <w:rPr>
        <w:rFonts w:ascii="Arial" w:hAnsi="Arial" w:hint="default"/>
      </w:rPr>
    </w:lvl>
    <w:lvl w:ilvl="2" w:tplc="268AD9D2" w:tentative="1">
      <w:start w:val="1"/>
      <w:numFmt w:val="bullet"/>
      <w:lvlText w:val="•"/>
      <w:lvlJc w:val="left"/>
      <w:pPr>
        <w:tabs>
          <w:tab w:val="num" w:pos="2160"/>
        </w:tabs>
        <w:ind w:left="2160" w:hanging="360"/>
      </w:pPr>
      <w:rPr>
        <w:rFonts w:ascii="Arial" w:hAnsi="Arial" w:hint="default"/>
      </w:rPr>
    </w:lvl>
    <w:lvl w:ilvl="3" w:tplc="DA768332" w:tentative="1">
      <w:start w:val="1"/>
      <w:numFmt w:val="bullet"/>
      <w:lvlText w:val="•"/>
      <w:lvlJc w:val="left"/>
      <w:pPr>
        <w:tabs>
          <w:tab w:val="num" w:pos="2880"/>
        </w:tabs>
        <w:ind w:left="2880" w:hanging="360"/>
      </w:pPr>
      <w:rPr>
        <w:rFonts w:ascii="Arial" w:hAnsi="Arial" w:hint="default"/>
      </w:rPr>
    </w:lvl>
    <w:lvl w:ilvl="4" w:tplc="BB52B256" w:tentative="1">
      <w:start w:val="1"/>
      <w:numFmt w:val="bullet"/>
      <w:lvlText w:val="•"/>
      <w:lvlJc w:val="left"/>
      <w:pPr>
        <w:tabs>
          <w:tab w:val="num" w:pos="3600"/>
        </w:tabs>
        <w:ind w:left="3600" w:hanging="360"/>
      </w:pPr>
      <w:rPr>
        <w:rFonts w:ascii="Arial" w:hAnsi="Arial" w:hint="default"/>
      </w:rPr>
    </w:lvl>
    <w:lvl w:ilvl="5" w:tplc="41860512" w:tentative="1">
      <w:start w:val="1"/>
      <w:numFmt w:val="bullet"/>
      <w:lvlText w:val="•"/>
      <w:lvlJc w:val="left"/>
      <w:pPr>
        <w:tabs>
          <w:tab w:val="num" w:pos="4320"/>
        </w:tabs>
        <w:ind w:left="4320" w:hanging="360"/>
      </w:pPr>
      <w:rPr>
        <w:rFonts w:ascii="Arial" w:hAnsi="Arial" w:hint="default"/>
      </w:rPr>
    </w:lvl>
    <w:lvl w:ilvl="6" w:tplc="EBC6BC0C" w:tentative="1">
      <w:start w:val="1"/>
      <w:numFmt w:val="bullet"/>
      <w:lvlText w:val="•"/>
      <w:lvlJc w:val="left"/>
      <w:pPr>
        <w:tabs>
          <w:tab w:val="num" w:pos="5040"/>
        </w:tabs>
        <w:ind w:left="5040" w:hanging="360"/>
      </w:pPr>
      <w:rPr>
        <w:rFonts w:ascii="Arial" w:hAnsi="Arial" w:hint="default"/>
      </w:rPr>
    </w:lvl>
    <w:lvl w:ilvl="7" w:tplc="A56C9780" w:tentative="1">
      <w:start w:val="1"/>
      <w:numFmt w:val="bullet"/>
      <w:lvlText w:val="•"/>
      <w:lvlJc w:val="left"/>
      <w:pPr>
        <w:tabs>
          <w:tab w:val="num" w:pos="5760"/>
        </w:tabs>
        <w:ind w:left="5760" w:hanging="360"/>
      </w:pPr>
      <w:rPr>
        <w:rFonts w:ascii="Arial" w:hAnsi="Arial" w:hint="default"/>
      </w:rPr>
    </w:lvl>
    <w:lvl w:ilvl="8" w:tplc="A6A0FC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7A4E36"/>
    <w:multiLevelType w:val="hybridMultilevel"/>
    <w:tmpl w:val="4DC4DF18"/>
    <w:lvl w:ilvl="0" w:tplc="39200514">
      <w:start w:val="1"/>
      <w:numFmt w:val="bullet"/>
      <w:lvlText w:val="•"/>
      <w:lvlJc w:val="left"/>
      <w:pPr>
        <w:tabs>
          <w:tab w:val="num" w:pos="720"/>
        </w:tabs>
        <w:ind w:left="720" w:hanging="360"/>
      </w:pPr>
      <w:rPr>
        <w:rFonts w:ascii="Arial" w:hAnsi="Arial" w:hint="default"/>
      </w:rPr>
    </w:lvl>
    <w:lvl w:ilvl="1" w:tplc="4A94980E" w:tentative="1">
      <w:start w:val="1"/>
      <w:numFmt w:val="bullet"/>
      <w:lvlText w:val="•"/>
      <w:lvlJc w:val="left"/>
      <w:pPr>
        <w:tabs>
          <w:tab w:val="num" w:pos="1440"/>
        </w:tabs>
        <w:ind w:left="1440" w:hanging="360"/>
      </w:pPr>
      <w:rPr>
        <w:rFonts w:ascii="Arial" w:hAnsi="Arial" w:hint="default"/>
      </w:rPr>
    </w:lvl>
    <w:lvl w:ilvl="2" w:tplc="BEB60728" w:tentative="1">
      <w:start w:val="1"/>
      <w:numFmt w:val="bullet"/>
      <w:lvlText w:val="•"/>
      <w:lvlJc w:val="left"/>
      <w:pPr>
        <w:tabs>
          <w:tab w:val="num" w:pos="2160"/>
        </w:tabs>
        <w:ind w:left="2160" w:hanging="360"/>
      </w:pPr>
      <w:rPr>
        <w:rFonts w:ascii="Arial" w:hAnsi="Arial" w:hint="default"/>
      </w:rPr>
    </w:lvl>
    <w:lvl w:ilvl="3" w:tplc="0A52703E" w:tentative="1">
      <w:start w:val="1"/>
      <w:numFmt w:val="bullet"/>
      <w:lvlText w:val="•"/>
      <w:lvlJc w:val="left"/>
      <w:pPr>
        <w:tabs>
          <w:tab w:val="num" w:pos="2880"/>
        </w:tabs>
        <w:ind w:left="2880" w:hanging="360"/>
      </w:pPr>
      <w:rPr>
        <w:rFonts w:ascii="Arial" w:hAnsi="Arial" w:hint="default"/>
      </w:rPr>
    </w:lvl>
    <w:lvl w:ilvl="4" w:tplc="83DC1A0E" w:tentative="1">
      <w:start w:val="1"/>
      <w:numFmt w:val="bullet"/>
      <w:lvlText w:val="•"/>
      <w:lvlJc w:val="left"/>
      <w:pPr>
        <w:tabs>
          <w:tab w:val="num" w:pos="3600"/>
        </w:tabs>
        <w:ind w:left="3600" w:hanging="360"/>
      </w:pPr>
      <w:rPr>
        <w:rFonts w:ascii="Arial" w:hAnsi="Arial" w:hint="default"/>
      </w:rPr>
    </w:lvl>
    <w:lvl w:ilvl="5" w:tplc="E3640834" w:tentative="1">
      <w:start w:val="1"/>
      <w:numFmt w:val="bullet"/>
      <w:lvlText w:val="•"/>
      <w:lvlJc w:val="left"/>
      <w:pPr>
        <w:tabs>
          <w:tab w:val="num" w:pos="4320"/>
        </w:tabs>
        <w:ind w:left="4320" w:hanging="360"/>
      </w:pPr>
      <w:rPr>
        <w:rFonts w:ascii="Arial" w:hAnsi="Arial" w:hint="default"/>
      </w:rPr>
    </w:lvl>
    <w:lvl w:ilvl="6" w:tplc="01CC68C4" w:tentative="1">
      <w:start w:val="1"/>
      <w:numFmt w:val="bullet"/>
      <w:lvlText w:val="•"/>
      <w:lvlJc w:val="left"/>
      <w:pPr>
        <w:tabs>
          <w:tab w:val="num" w:pos="5040"/>
        </w:tabs>
        <w:ind w:left="5040" w:hanging="360"/>
      </w:pPr>
      <w:rPr>
        <w:rFonts w:ascii="Arial" w:hAnsi="Arial" w:hint="default"/>
      </w:rPr>
    </w:lvl>
    <w:lvl w:ilvl="7" w:tplc="AE789FBC" w:tentative="1">
      <w:start w:val="1"/>
      <w:numFmt w:val="bullet"/>
      <w:lvlText w:val="•"/>
      <w:lvlJc w:val="left"/>
      <w:pPr>
        <w:tabs>
          <w:tab w:val="num" w:pos="5760"/>
        </w:tabs>
        <w:ind w:left="5760" w:hanging="360"/>
      </w:pPr>
      <w:rPr>
        <w:rFonts w:ascii="Arial" w:hAnsi="Arial" w:hint="default"/>
      </w:rPr>
    </w:lvl>
    <w:lvl w:ilvl="8" w:tplc="6160F3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233C88"/>
    <w:multiLevelType w:val="hybridMultilevel"/>
    <w:tmpl w:val="D5D250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1DA4485"/>
    <w:multiLevelType w:val="hybridMultilevel"/>
    <w:tmpl w:val="B0D2FF62"/>
    <w:lvl w:ilvl="0" w:tplc="E7DA2B78">
      <w:start w:val="1"/>
      <w:numFmt w:val="bullet"/>
      <w:lvlText w:val="•"/>
      <w:lvlJc w:val="left"/>
      <w:pPr>
        <w:tabs>
          <w:tab w:val="num" w:pos="1352"/>
        </w:tabs>
        <w:ind w:left="1352" w:hanging="360"/>
      </w:pPr>
      <w:rPr>
        <w:rFonts w:ascii="Arial" w:hAnsi="Arial" w:hint="default"/>
      </w:rPr>
    </w:lvl>
    <w:lvl w:ilvl="1" w:tplc="E012CA76" w:tentative="1">
      <w:start w:val="1"/>
      <w:numFmt w:val="bullet"/>
      <w:lvlText w:val="•"/>
      <w:lvlJc w:val="left"/>
      <w:pPr>
        <w:tabs>
          <w:tab w:val="num" w:pos="2072"/>
        </w:tabs>
        <w:ind w:left="2072" w:hanging="360"/>
      </w:pPr>
      <w:rPr>
        <w:rFonts w:ascii="Arial" w:hAnsi="Arial" w:hint="default"/>
      </w:rPr>
    </w:lvl>
    <w:lvl w:ilvl="2" w:tplc="8E98CDDA" w:tentative="1">
      <w:start w:val="1"/>
      <w:numFmt w:val="bullet"/>
      <w:lvlText w:val="•"/>
      <w:lvlJc w:val="left"/>
      <w:pPr>
        <w:tabs>
          <w:tab w:val="num" w:pos="2792"/>
        </w:tabs>
        <w:ind w:left="2792" w:hanging="360"/>
      </w:pPr>
      <w:rPr>
        <w:rFonts w:ascii="Arial" w:hAnsi="Arial" w:hint="default"/>
      </w:rPr>
    </w:lvl>
    <w:lvl w:ilvl="3" w:tplc="9D1E10AE" w:tentative="1">
      <w:start w:val="1"/>
      <w:numFmt w:val="bullet"/>
      <w:lvlText w:val="•"/>
      <w:lvlJc w:val="left"/>
      <w:pPr>
        <w:tabs>
          <w:tab w:val="num" w:pos="3512"/>
        </w:tabs>
        <w:ind w:left="3512" w:hanging="360"/>
      </w:pPr>
      <w:rPr>
        <w:rFonts w:ascii="Arial" w:hAnsi="Arial" w:hint="default"/>
      </w:rPr>
    </w:lvl>
    <w:lvl w:ilvl="4" w:tplc="44A82E7C" w:tentative="1">
      <w:start w:val="1"/>
      <w:numFmt w:val="bullet"/>
      <w:lvlText w:val="•"/>
      <w:lvlJc w:val="left"/>
      <w:pPr>
        <w:tabs>
          <w:tab w:val="num" w:pos="4232"/>
        </w:tabs>
        <w:ind w:left="4232" w:hanging="360"/>
      </w:pPr>
      <w:rPr>
        <w:rFonts w:ascii="Arial" w:hAnsi="Arial" w:hint="default"/>
      </w:rPr>
    </w:lvl>
    <w:lvl w:ilvl="5" w:tplc="95845ADC" w:tentative="1">
      <w:start w:val="1"/>
      <w:numFmt w:val="bullet"/>
      <w:lvlText w:val="•"/>
      <w:lvlJc w:val="left"/>
      <w:pPr>
        <w:tabs>
          <w:tab w:val="num" w:pos="4952"/>
        </w:tabs>
        <w:ind w:left="4952" w:hanging="360"/>
      </w:pPr>
      <w:rPr>
        <w:rFonts w:ascii="Arial" w:hAnsi="Arial" w:hint="default"/>
      </w:rPr>
    </w:lvl>
    <w:lvl w:ilvl="6" w:tplc="4768F07C" w:tentative="1">
      <w:start w:val="1"/>
      <w:numFmt w:val="bullet"/>
      <w:lvlText w:val="•"/>
      <w:lvlJc w:val="left"/>
      <w:pPr>
        <w:tabs>
          <w:tab w:val="num" w:pos="5672"/>
        </w:tabs>
        <w:ind w:left="5672" w:hanging="360"/>
      </w:pPr>
      <w:rPr>
        <w:rFonts w:ascii="Arial" w:hAnsi="Arial" w:hint="default"/>
      </w:rPr>
    </w:lvl>
    <w:lvl w:ilvl="7" w:tplc="47F4BD72" w:tentative="1">
      <w:start w:val="1"/>
      <w:numFmt w:val="bullet"/>
      <w:lvlText w:val="•"/>
      <w:lvlJc w:val="left"/>
      <w:pPr>
        <w:tabs>
          <w:tab w:val="num" w:pos="6392"/>
        </w:tabs>
        <w:ind w:left="6392" w:hanging="360"/>
      </w:pPr>
      <w:rPr>
        <w:rFonts w:ascii="Arial" w:hAnsi="Arial" w:hint="default"/>
      </w:rPr>
    </w:lvl>
    <w:lvl w:ilvl="8" w:tplc="70CA9300" w:tentative="1">
      <w:start w:val="1"/>
      <w:numFmt w:val="bullet"/>
      <w:lvlText w:val="•"/>
      <w:lvlJc w:val="left"/>
      <w:pPr>
        <w:tabs>
          <w:tab w:val="num" w:pos="7112"/>
        </w:tabs>
        <w:ind w:left="7112" w:hanging="360"/>
      </w:pPr>
      <w:rPr>
        <w:rFonts w:ascii="Arial" w:hAnsi="Arial" w:hint="default"/>
      </w:rPr>
    </w:lvl>
  </w:abstractNum>
  <w:num w:numId="1">
    <w:abstractNumId w:val="7"/>
  </w:num>
  <w:num w:numId="2">
    <w:abstractNumId w:val="5"/>
  </w:num>
  <w:num w:numId="3">
    <w:abstractNumId w:val="4"/>
  </w:num>
  <w:num w:numId="4">
    <w:abstractNumId w:val="8"/>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10"/>
    <w:rsid w:val="000116BF"/>
    <w:rsid w:val="00052784"/>
    <w:rsid w:val="00064B86"/>
    <w:rsid w:val="00064CB5"/>
    <w:rsid w:val="00134B65"/>
    <w:rsid w:val="001C07A0"/>
    <w:rsid w:val="001D1646"/>
    <w:rsid w:val="001F3DD6"/>
    <w:rsid w:val="002F5CFB"/>
    <w:rsid w:val="003524DA"/>
    <w:rsid w:val="00353C64"/>
    <w:rsid w:val="003B167C"/>
    <w:rsid w:val="003B6483"/>
    <w:rsid w:val="003F79BD"/>
    <w:rsid w:val="00400CDB"/>
    <w:rsid w:val="004528C0"/>
    <w:rsid w:val="004A02C5"/>
    <w:rsid w:val="00545109"/>
    <w:rsid w:val="00563063"/>
    <w:rsid w:val="005B58FE"/>
    <w:rsid w:val="006206B6"/>
    <w:rsid w:val="00653CC4"/>
    <w:rsid w:val="00672BAF"/>
    <w:rsid w:val="006B3AA5"/>
    <w:rsid w:val="006B74CD"/>
    <w:rsid w:val="00716642"/>
    <w:rsid w:val="00735449"/>
    <w:rsid w:val="008421FF"/>
    <w:rsid w:val="008670F5"/>
    <w:rsid w:val="008728DC"/>
    <w:rsid w:val="0089565B"/>
    <w:rsid w:val="009207F6"/>
    <w:rsid w:val="00922B92"/>
    <w:rsid w:val="00970510"/>
    <w:rsid w:val="009D726A"/>
    <w:rsid w:val="00A659B9"/>
    <w:rsid w:val="00A74207"/>
    <w:rsid w:val="00A8580A"/>
    <w:rsid w:val="00A85CF0"/>
    <w:rsid w:val="00AD0700"/>
    <w:rsid w:val="00B017A7"/>
    <w:rsid w:val="00BA38CB"/>
    <w:rsid w:val="00BD3FB2"/>
    <w:rsid w:val="00C212D4"/>
    <w:rsid w:val="00C80443"/>
    <w:rsid w:val="00CB149E"/>
    <w:rsid w:val="00CF634C"/>
    <w:rsid w:val="00DC088B"/>
    <w:rsid w:val="00DD5EA6"/>
    <w:rsid w:val="00E46F2B"/>
    <w:rsid w:val="00E86916"/>
    <w:rsid w:val="00EB2C6A"/>
    <w:rsid w:val="00EC0EEA"/>
    <w:rsid w:val="00EC52D6"/>
    <w:rsid w:val="00F06632"/>
    <w:rsid w:val="00F11295"/>
    <w:rsid w:val="00F76DC2"/>
    <w:rsid w:val="00F7732F"/>
    <w:rsid w:val="00F855DD"/>
    <w:rsid w:val="00FA3046"/>
    <w:rsid w:val="00FC1E90"/>
    <w:rsid w:val="00FE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CA3D"/>
  <w15:chartTrackingRefBased/>
  <w15:docId w15:val="{F99ED8BE-8817-40BF-88E7-C085F5B7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C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1646"/>
    <w:pPr>
      <w:ind w:left="720"/>
      <w:contextualSpacing/>
    </w:pPr>
  </w:style>
  <w:style w:type="paragraph" w:styleId="Header">
    <w:name w:val="header"/>
    <w:basedOn w:val="Normal"/>
    <w:link w:val="HeaderChar"/>
    <w:uiPriority w:val="99"/>
    <w:unhideWhenUsed/>
    <w:rsid w:val="00A7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207"/>
  </w:style>
  <w:style w:type="paragraph" w:styleId="Footer">
    <w:name w:val="footer"/>
    <w:basedOn w:val="Normal"/>
    <w:link w:val="FooterChar"/>
    <w:uiPriority w:val="99"/>
    <w:unhideWhenUsed/>
    <w:rsid w:val="00A7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207"/>
  </w:style>
  <w:style w:type="paragraph" w:styleId="NoSpacing">
    <w:name w:val="No Spacing"/>
    <w:uiPriority w:val="1"/>
    <w:qFormat/>
    <w:rsid w:val="003F79BD"/>
    <w:pPr>
      <w:spacing w:after="0" w:line="240" w:lineRule="auto"/>
    </w:pPr>
    <w:rPr>
      <w:lang w:val="en-US"/>
    </w:rPr>
  </w:style>
  <w:style w:type="paragraph" w:styleId="BalloonText">
    <w:name w:val="Balloon Text"/>
    <w:basedOn w:val="Normal"/>
    <w:link w:val="BalloonTextChar"/>
    <w:uiPriority w:val="99"/>
    <w:unhideWhenUsed/>
    <w:rsid w:val="00AD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D0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5395">
      <w:bodyDiv w:val="1"/>
      <w:marLeft w:val="0"/>
      <w:marRight w:val="0"/>
      <w:marTop w:val="0"/>
      <w:marBottom w:val="0"/>
      <w:divBdr>
        <w:top w:val="none" w:sz="0" w:space="0" w:color="auto"/>
        <w:left w:val="none" w:sz="0" w:space="0" w:color="auto"/>
        <w:bottom w:val="none" w:sz="0" w:space="0" w:color="auto"/>
        <w:right w:val="none" w:sz="0" w:space="0" w:color="auto"/>
      </w:divBdr>
      <w:divsChild>
        <w:div w:id="48308023">
          <w:marLeft w:val="446"/>
          <w:marRight w:val="0"/>
          <w:marTop w:val="150"/>
          <w:marBottom w:val="0"/>
          <w:divBdr>
            <w:top w:val="none" w:sz="0" w:space="0" w:color="auto"/>
            <w:left w:val="none" w:sz="0" w:space="0" w:color="auto"/>
            <w:bottom w:val="none" w:sz="0" w:space="0" w:color="auto"/>
            <w:right w:val="none" w:sz="0" w:space="0" w:color="auto"/>
          </w:divBdr>
        </w:div>
        <w:div w:id="2008701805">
          <w:marLeft w:val="446"/>
          <w:marRight w:val="0"/>
          <w:marTop w:val="150"/>
          <w:marBottom w:val="0"/>
          <w:divBdr>
            <w:top w:val="none" w:sz="0" w:space="0" w:color="auto"/>
            <w:left w:val="none" w:sz="0" w:space="0" w:color="auto"/>
            <w:bottom w:val="none" w:sz="0" w:space="0" w:color="auto"/>
            <w:right w:val="none" w:sz="0" w:space="0" w:color="auto"/>
          </w:divBdr>
        </w:div>
        <w:div w:id="1339388229">
          <w:marLeft w:val="446"/>
          <w:marRight w:val="0"/>
          <w:marTop w:val="150"/>
          <w:marBottom w:val="0"/>
          <w:divBdr>
            <w:top w:val="none" w:sz="0" w:space="0" w:color="auto"/>
            <w:left w:val="none" w:sz="0" w:space="0" w:color="auto"/>
            <w:bottom w:val="none" w:sz="0" w:space="0" w:color="auto"/>
            <w:right w:val="none" w:sz="0" w:space="0" w:color="auto"/>
          </w:divBdr>
        </w:div>
      </w:divsChild>
    </w:div>
    <w:div w:id="532499141">
      <w:bodyDiv w:val="1"/>
      <w:marLeft w:val="0"/>
      <w:marRight w:val="0"/>
      <w:marTop w:val="0"/>
      <w:marBottom w:val="0"/>
      <w:divBdr>
        <w:top w:val="none" w:sz="0" w:space="0" w:color="auto"/>
        <w:left w:val="none" w:sz="0" w:space="0" w:color="auto"/>
        <w:bottom w:val="none" w:sz="0" w:space="0" w:color="auto"/>
        <w:right w:val="none" w:sz="0" w:space="0" w:color="auto"/>
      </w:divBdr>
    </w:div>
    <w:div w:id="857698012">
      <w:bodyDiv w:val="1"/>
      <w:marLeft w:val="0"/>
      <w:marRight w:val="0"/>
      <w:marTop w:val="0"/>
      <w:marBottom w:val="0"/>
      <w:divBdr>
        <w:top w:val="none" w:sz="0" w:space="0" w:color="auto"/>
        <w:left w:val="none" w:sz="0" w:space="0" w:color="auto"/>
        <w:bottom w:val="none" w:sz="0" w:space="0" w:color="auto"/>
        <w:right w:val="none" w:sz="0" w:space="0" w:color="auto"/>
      </w:divBdr>
      <w:divsChild>
        <w:div w:id="828062395">
          <w:marLeft w:val="446"/>
          <w:marRight w:val="0"/>
          <w:marTop w:val="150"/>
          <w:marBottom w:val="0"/>
          <w:divBdr>
            <w:top w:val="none" w:sz="0" w:space="0" w:color="auto"/>
            <w:left w:val="none" w:sz="0" w:space="0" w:color="auto"/>
            <w:bottom w:val="none" w:sz="0" w:space="0" w:color="auto"/>
            <w:right w:val="none" w:sz="0" w:space="0" w:color="auto"/>
          </w:divBdr>
        </w:div>
        <w:div w:id="719938215">
          <w:marLeft w:val="446"/>
          <w:marRight w:val="0"/>
          <w:marTop w:val="150"/>
          <w:marBottom w:val="0"/>
          <w:divBdr>
            <w:top w:val="none" w:sz="0" w:space="0" w:color="auto"/>
            <w:left w:val="none" w:sz="0" w:space="0" w:color="auto"/>
            <w:bottom w:val="none" w:sz="0" w:space="0" w:color="auto"/>
            <w:right w:val="none" w:sz="0" w:space="0" w:color="auto"/>
          </w:divBdr>
        </w:div>
      </w:divsChild>
    </w:div>
    <w:div w:id="883784816">
      <w:bodyDiv w:val="1"/>
      <w:marLeft w:val="0"/>
      <w:marRight w:val="0"/>
      <w:marTop w:val="0"/>
      <w:marBottom w:val="0"/>
      <w:divBdr>
        <w:top w:val="none" w:sz="0" w:space="0" w:color="auto"/>
        <w:left w:val="none" w:sz="0" w:space="0" w:color="auto"/>
        <w:bottom w:val="none" w:sz="0" w:space="0" w:color="auto"/>
        <w:right w:val="none" w:sz="0" w:space="0" w:color="auto"/>
      </w:divBdr>
      <w:divsChild>
        <w:div w:id="1912613208">
          <w:marLeft w:val="274"/>
          <w:marRight w:val="0"/>
          <w:marTop w:val="150"/>
          <w:marBottom w:val="0"/>
          <w:divBdr>
            <w:top w:val="none" w:sz="0" w:space="0" w:color="auto"/>
            <w:left w:val="none" w:sz="0" w:space="0" w:color="auto"/>
            <w:bottom w:val="none" w:sz="0" w:space="0" w:color="auto"/>
            <w:right w:val="none" w:sz="0" w:space="0" w:color="auto"/>
          </w:divBdr>
        </w:div>
      </w:divsChild>
    </w:div>
    <w:div w:id="1116215109">
      <w:bodyDiv w:val="1"/>
      <w:marLeft w:val="0"/>
      <w:marRight w:val="0"/>
      <w:marTop w:val="0"/>
      <w:marBottom w:val="0"/>
      <w:divBdr>
        <w:top w:val="none" w:sz="0" w:space="0" w:color="auto"/>
        <w:left w:val="none" w:sz="0" w:space="0" w:color="auto"/>
        <w:bottom w:val="none" w:sz="0" w:space="0" w:color="auto"/>
        <w:right w:val="none" w:sz="0" w:space="0" w:color="auto"/>
      </w:divBdr>
      <w:divsChild>
        <w:div w:id="197160365">
          <w:marLeft w:val="360"/>
          <w:marRight w:val="0"/>
          <w:marTop w:val="200"/>
          <w:marBottom w:val="0"/>
          <w:divBdr>
            <w:top w:val="none" w:sz="0" w:space="0" w:color="auto"/>
            <w:left w:val="none" w:sz="0" w:space="0" w:color="auto"/>
            <w:bottom w:val="none" w:sz="0" w:space="0" w:color="auto"/>
            <w:right w:val="none" w:sz="0" w:space="0" w:color="auto"/>
          </w:divBdr>
        </w:div>
        <w:div w:id="223761281">
          <w:marLeft w:val="360"/>
          <w:marRight w:val="0"/>
          <w:marTop w:val="200"/>
          <w:marBottom w:val="0"/>
          <w:divBdr>
            <w:top w:val="none" w:sz="0" w:space="0" w:color="auto"/>
            <w:left w:val="none" w:sz="0" w:space="0" w:color="auto"/>
            <w:bottom w:val="none" w:sz="0" w:space="0" w:color="auto"/>
            <w:right w:val="none" w:sz="0" w:space="0" w:color="auto"/>
          </w:divBdr>
        </w:div>
        <w:div w:id="960301953">
          <w:marLeft w:val="360"/>
          <w:marRight w:val="0"/>
          <w:marTop w:val="200"/>
          <w:marBottom w:val="0"/>
          <w:divBdr>
            <w:top w:val="none" w:sz="0" w:space="0" w:color="auto"/>
            <w:left w:val="none" w:sz="0" w:space="0" w:color="auto"/>
            <w:bottom w:val="none" w:sz="0" w:space="0" w:color="auto"/>
            <w:right w:val="none" w:sz="0" w:space="0" w:color="auto"/>
          </w:divBdr>
        </w:div>
        <w:div w:id="1606302969">
          <w:marLeft w:val="360"/>
          <w:marRight w:val="0"/>
          <w:marTop w:val="200"/>
          <w:marBottom w:val="0"/>
          <w:divBdr>
            <w:top w:val="none" w:sz="0" w:space="0" w:color="auto"/>
            <w:left w:val="none" w:sz="0" w:space="0" w:color="auto"/>
            <w:bottom w:val="none" w:sz="0" w:space="0" w:color="auto"/>
            <w:right w:val="none" w:sz="0" w:space="0" w:color="auto"/>
          </w:divBdr>
        </w:div>
        <w:div w:id="847332899">
          <w:marLeft w:val="360"/>
          <w:marRight w:val="0"/>
          <w:marTop w:val="200"/>
          <w:marBottom w:val="0"/>
          <w:divBdr>
            <w:top w:val="none" w:sz="0" w:space="0" w:color="auto"/>
            <w:left w:val="none" w:sz="0" w:space="0" w:color="auto"/>
            <w:bottom w:val="none" w:sz="0" w:space="0" w:color="auto"/>
            <w:right w:val="none" w:sz="0" w:space="0" w:color="auto"/>
          </w:divBdr>
        </w:div>
      </w:divsChild>
    </w:div>
    <w:div w:id="1478960787">
      <w:bodyDiv w:val="1"/>
      <w:marLeft w:val="0"/>
      <w:marRight w:val="0"/>
      <w:marTop w:val="0"/>
      <w:marBottom w:val="0"/>
      <w:divBdr>
        <w:top w:val="none" w:sz="0" w:space="0" w:color="auto"/>
        <w:left w:val="none" w:sz="0" w:space="0" w:color="auto"/>
        <w:bottom w:val="none" w:sz="0" w:space="0" w:color="auto"/>
        <w:right w:val="none" w:sz="0" w:space="0" w:color="auto"/>
      </w:divBdr>
    </w:div>
    <w:div w:id="1628926014">
      <w:bodyDiv w:val="1"/>
      <w:marLeft w:val="0"/>
      <w:marRight w:val="0"/>
      <w:marTop w:val="0"/>
      <w:marBottom w:val="0"/>
      <w:divBdr>
        <w:top w:val="none" w:sz="0" w:space="0" w:color="auto"/>
        <w:left w:val="none" w:sz="0" w:space="0" w:color="auto"/>
        <w:bottom w:val="none" w:sz="0" w:space="0" w:color="auto"/>
        <w:right w:val="none" w:sz="0" w:space="0" w:color="auto"/>
      </w:divBdr>
    </w:div>
    <w:div w:id="1707295878">
      <w:bodyDiv w:val="1"/>
      <w:marLeft w:val="0"/>
      <w:marRight w:val="0"/>
      <w:marTop w:val="0"/>
      <w:marBottom w:val="0"/>
      <w:divBdr>
        <w:top w:val="none" w:sz="0" w:space="0" w:color="auto"/>
        <w:left w:val="none" w:sz="0" w:space="0" w:color="auto"/>
        <w:bottom w:val="none" w:sz="0" w:space="0" w:color="auto"/>
        <w:right w:val="none" w:sz="0" w:space="0" w:color="auto"/>
      </w:divBdr>
      <w:divsChild>
        <w:div w:id="1212690280">
          <w:marLeft w:val="274"/>
          <w:marRight w:val="0"/>
          <w:marTop w:val="150"/>
          <w:marBottom w:val="0"/>
          <w:divBdr>
            <w:top w:val="none" w:sz="0" w:space="0" w:color="auto"/>
            <w:left w:val="none" w:sz="0" w:space="0" w:color="auto"/>
            <w:bottom w:val="none" w:sz="0" w:space="0" w:color="auto"/>
            <w:right w:val="none" w:sz="0" w:space="0" w:color="auto"/>
          </w:divBdr>
        </w:div>
        <w:div w:id="305553110">
          <w:marLeft w:val="274"/>
          <w:marRight w:val="0"/>
          <w:marTop w:val="150"/>
          <w:marBottom w:val="0"/>
          <w:divBdr>
            <w:top w:val="none" w:sz="0" w:space="0" w:color="auto"/>
            <w:left w:val="none" w:sz="0" w:space="0" w:color="auto"/>
            <w:bottom w:val="none" w:sz="0" w:space="0" w:color="auto"/>
            <w:right w:val="none" w:sz="0" w:space="0" w:color="auto"/>
          </w:divBdr>
        </w:div>
        <w:div w:id="1053774282">
          <w:marLeft w:val="274"/>
          <w:marRight w:val="0"/>
          <w:marTop w:val="150"/>
          <w:marBottom w:val="0"/>
          <w:divBdr>
            <w:top w:val="none" w:sz="0" w:space="0" w:color="auto"/>
            <w:left w:val="none" w:sz="0" w:space="0" w:color="auto"/>
            <w:bottom w:val="none" w:sz="0" w:space="0" w:color="auto"/>
            <w:right w:val="none" w:sz="0" w:space="0" w:color="auto"/>
          </w:divBdr>
        </w:div>
        <w:div w:id="988166771">
          <w:marLeft w:val="274"/>
          <w:marRight w:val="0"/>
          <w:marTop w:val="150"/>
          <w:marBottom w:val="0"/>
          <w:divBdr>
            <w:top w:val="none" w:sz="0" w:space="0" w:color="auto"/>
            <w:left w:val="none" w:sz="0" w:space="0" w:color="auto"/>
            <w:bottom w:val="none" w:sz="0" w:space="0" w:color="auto"/>
            <w:right w:val="none" w:sz="0" w:space="0" w:color="auto"/>
          </w:divBdr>
        </w:div>
        <w:div w:id="692457113">
          <w:marLeft w:val="274"/>
          <w:marRight w:val="0"/>
          <w:marTop w:val="150"/>
          <w:marBottom w:val="0"/>
          <w:divBdr>
            <w:top w:val="none" w:sz="0" w:space="0" w:color="auto"/>
            <w:left w:val="none" w:sz="0" w:space="0" w:color="auto"/>
            <w:bottom w:val="none" w:sz="0" w:space="0" w:color="auto"/>
            <w:right w:val="none" w:sz="0" w:space="0" w:color="auto"/>
          </w:divBdr>
        </w:div>
        <w:div w:id="138500733">
          <w:marLeft w:val="274"/>
          <w:marRight w:val="0"/>
          <w:marTop w:val="150"/>
          <w:marBottom w:val="0"/>
          <w:divBdr>
            <w:top w:val="none" w:sz="0" w:space="0" w:color="auto"/>
            <w:left w:val="none" w:sz="0" w:space="0" w:color="auto"/>
            <w:bottom w:val="none" w:sz="0" w:space="0" w:color="auto"/>
            <w:right w:val="none" w:sz="0" w:space="0" w:color="auto"/>
          </w:divBdr>
        </w:div>
        <w:div w:id="538933386">
          <w:marLeft w:val="274"/>
          <w:marRight w:val="0"/>
          <w:marTop w:val="150"/>
          <w:marBottom w:val="0"/>
          <w:divBdr>
            <w:top w:val="none" w:sz="0" w:space="0" w:color="auto"/>
            <w:left w:val="none" w:sz="0" w:space="0" w:color="auto"/>
            <w:bottom w:val="none" w:sz="0" w:space="0" w:color="auto"/>
            <w:right w:val="none" w:sz="0" w:space="0" w:color="auto"/>
          </w:divBdr>
        </w:div>
      </w:divsChild>
    </w:div>
    <w:div w:id="1858540425">
      <w:bodyDiv w:val="1"/>
      <w:marLeft w:val="0"/>
      <w:marRight w:val="0"/>
      <w:marTop w:val="0"/>
      <w:marBottom w:val="0"/>
      <w:divBdr>
        <w:top w:val="none" w:sz="0" w:space="0" w:color="auto"/>
        <w:left w:val="none" w:sz="0" w:space="0" w:color="auto"/>
        <w:bottom w:val="none" w:sz="0" w:space="0" w:color="auto"/>
        <w:right w:val="none" w:sz="0" w:space="0" w:color="auto"/>
      </w:divBdr>
      <w:divsChild>
        <w:div w:id="1867206981">
          <w:marLeft w:val="446"/>
          <w:marRight w:val="0"/>
          <w:marTop w:val="150"/>
          <w:marBottom w:val="0"/>
          <w:divBdr>
            <w:top w:val="none" w:sz="0" w:space="0" w:color="auto"/>
            <w:left w:val="none" w:sz="0" w:space="0" w:color="auto"/>
            <w:bottom w:val="none" w:sz="0" w:space="0" w:color="auto"/>
            <w:right w:val="none" w:sz="0" w:space="0" w:color="auto"/>
          </w:divBdr>
        </w:div>
        <w:div w:id="842235310">
          <w:marLeft w:val="446"/>
          <w:marRight w:val="0"/>
          <w:marTop w:val="150"/>
          <w:marBottom w:val="0"/>
          <w:divBdr>
            <w:top w:val="none" w:sz="0" w:space="0" w:color="auto"/>
            <w:left w:val="none" w:sz="0" w:space="0" w:color="auto"/>
            <w:bottom w:val="none" w:sz="0" w:space="0" w:color="auto"/>
            <w:right w:val="none" w:sz="0" w:space="0" w:color="auto"/>
          </w:divBdr>
        </w:div>
        <w:div w:id="621770283">
          <w:marLeft w:val="446"/>
          <w:marRight w:val="0"/>
          <w:marTop w:val="150"/>
          <w:marBottom w:val="0"/>
          <w:divBdr>
            <w:top w:val="none" w:sz="0" w:space="0" w:color="auto"/>
            <w:left w:val="none" w:sz="0" w:space="0" w:color="auto"/>
            <w:bottom w:val="none" w:sz="0" w:space="0" w:color="auto"/>
            <w:right w:val="none" w:sz="0" w:space="0" w:color="auto"/>
          </w:divBdr>
        </w:div>
      </w:divsChild>
    </w:div>
    <w:div w:id="2012633559">
      <w:bodyDiv w:val="1"/>
      <w:marLeft w:val="0"/>
      <w:marRight w:val="0"/>
      <w:marTop w:val="0"/>
      <w:marBottom w:val="0"/>
      <w:divBdr>
        <w:top w:val="none" w:sz="0" w:space="0" w:color="auto"/>
        <w:left w:val="none" w:sz="0" w:space="0" w:color="auto"/>
        <w:bottom w:val="none" w:sz="0" w:space="0" w:color="auto"/>
        <w:right w:val="none" w:sz="0" w:space="0" w:color="auto"/>
      </w:divBdr>
      <w:divsChild>
        <w:div w:id="1143234716">
          <w:marLeft w:val="446"/>
          <w:marRight w:val="0"/>
          <w:marTop w:val="150"/>
          <w:marBottom w:val="0"/>
          <w:divBdr>
            <w:top w:val="none" w:sz="0" w:space="0" w:color="auto"/>
            <w:left w:val="none" w:sz="0" w:space="0" w:color="auto"/>
            <w:bottom w:val="none" w:sz="0" w:space="0" w:color="auto"/>
            <w:right w:val="none" w:sz="0" w:space="0" w:color="auto"/>
          </w:divBdr>
        </w:div>
        <w:div w:id="1781073253">
          <w:marLeft w:val="446"/>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tandfonline.com/toc/cjep20/current"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Glasson</dc:creator>
  <cp:keywords/>
  <dc:description/>
  <cp:lastModifiedBy>John Glasson</cp:lastModifiedBy>
  <cp:revision>8</cp:revision>
  <cp:lastPrinted>2019-02-27T10:24:00Z</cp:lastPrinted>
  <dcterms:created xsi:type="dcterms:W3CDTF">2019-02-22T19:44:00Z</dcterms:created>
  <dcterms:modified xsi:type="dcterms:W3CDTF">2019-02-27T11:09:00Z</dcterms:modified>
</cp:coreProperties>
</file>