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CC4A" w14:textId="03881FD0" w:rsidR="00005C1E" w:rsidRDefault="00005C1E" w:rsidP="00687FDA">
      <w:pPr>
        <w:jc w:val="center"/>
        <w:rPr>
          <w:u w:val="single"/>
        </w:rPr>
      </w:pPr>
      <w:r w:rsidRPr="00BE435F">
        <w:rPr>
          <w:b/>
          <w:bCs/>
        </w:rPr>
        <w:t>Climate change considerations for federally regulated pipelines in Canada</w:t>
      </w:r>
    </w:p>
    <w:p w14:paraId="324C4965" w14:textId="04A3862E" w:rsidR="00005C1E" w:rsidRDefault="00687FDA" w:rsidP="00687FDA">
      <w:pPr>
        <w:jc w:val="center"/>
        <w:rPr>
          <w:i/>
          <w:iCs/>
          <w:lang w:val="fr-FR"/>
        </w:rPr>
      </w:pPr>
      <w:r w:rsidRPr="00687FDA">
        <w:rPr>
          <w:i/>
          <w:iCs/>
          <w:lang w:val="fr-FR"/>
        </w:rPr>
        <w:t>Usha Mulukutla, Patti Dods, Er</w:t>
      </w:r>
      <w:r>
        <w:rPr>
          <w:i/>
          <w:iCs/>
          <w:lang w:val="fr-FR"/>
        </w:rPr>
        <w:t>in Tabah</w:t>
      </w:r>
      <w:r>
        <w:rPr>
          <w:rStyle w:val="FootnoteReference"/>
          <w:i/>
          <w:iCs/>
          <w:lang w:val="fr-FR"/>
        </w:rPr>
        <w:footnoteReference w:id="1"/>
      </w:r>
    </w:p>
    <w:p w14:paraId="105F3A6D" w14:textId="0F0DB95E" w:rsidR="00B061B1" w:rsidRPr="00B061B1" w:rsidRDefault="00B061B1" w:rsidP="00687FDA">
      <w:pPr>
        <w:jc w:val="center"/>
        <w:rPr>
          <w:i/>
          <w:iCs/>
          <w:lang w:val="fr-FR"/>
        </w:rPr>
      </w:pPr>
      <w:r w:rsidRPr="00B061B1">
        <w:rPr>
          <w:i/>
          <w:iCs/>
        </w:rPr>
        <w:t>Canada Energy Regulator, Calgary, Canada</w:t>
      </w:r>
    </w:p>
    <w:p w14:paraId="0BDB4BA5" w14:textId="77777777" w:rsidR="00687FDA" w:rsidRPr="00687FDA" w:rsidRDefault="00687FDA" w:rsidP="00687FDA">
      <w:pPr>
        <w:jc w:val="center"/>
        <w:rPr>
          <w:i/>
          <w:iCs/>
          <w:u w:val="single"/>
          <w:lang w:val="fr-FR"/>
        </w:rPr>
      </w:pPr>
    </w:p>
    <w:p w14:paraId="3CACE8AB" w14:textId="68A55C3E" w:rsidR="00BE435F" w:rsidRPr="000C1FBB" w:rsidRDefault="00BE435F" w:rsidP="00BE435F">
      <w:pPr>
        <w:pStyle w:val="ListParagraph"/>
        <w:numPr>
          <w:ilvl w:val="0"/>
          <w:numId w:val="1"/>
        </w:numPr>
        <w:rPr>
          <w:b/>
          <w:bCs/>
        </w:rPr>
      </w:pPr>
      <w:r w:rsidRPr="000C1FBB">
        <w:rPr>
          <w:b/>
          <w:bCs/>
        </w:rPr>
        <w:t xml:space="preserve">Introduction </w:t>
      </w:r>
    </w:p>
    <w:p w14:paraId="09724F7A" w14:textId="31A762D0" w:rsidR="00BE435F" w:rsidRPr="00687FDA" w:rsidRDefault="00116F2A" w:rsidP="00C00250">
      <w:pPr>
        <w:kinsoku w:val="0"/>
        <w:overflowPunct w:val="0"/>
        <w:spacing w:after="0" w:line="240" w:lineRule="auto"/>
        <w:textAlignment w:val="baseline"/>
      </w:pPr>
      <w:r w:rsidRPr="00687FDA">
        <w:t xml:space="preserve">As Canada’s federal energy regulator, the </w:t>
      </w:r>
      <w:r w:rsidR="00035251" w:rsidRPr="00687FDA">
        <w:t>Canada Energy Regulator (</w:t>
      </w:r>
      <w:r w:rsidR="00035251" w:rsidRPr="00ED7F90">
        <w:rPr>
          <w:b/>
          <w:bCs/>
        </w:rPr>
        <w:t>CER</w:t>
      </w:r>
      <w:r w:rsidR="00035251" w:rsidRPr="00687FDA">
        <w:t xml:space="preserve">) </w:t>
      </w:r>
      <w:r w:rsidRPr="00687FDA">
        <w:t>has oversight of over 7</w:t>
      </w:r>
      <w:r w:rsidR="00687FDA" w:rsidRPr="00687FDA">
        <w:t>3</w:t>
      </w:r>
      <w:r w:rsidRPr="00687FDA">
        <w:t>,000 km of interprovincial and international pipelines in Canada</w:t>
      </w:r>
      <w:r w:rsidR="00AE2A05">
        <w:t>, which is about 10</w:t>
      </w:r>
      <w:r w:rsidR="00C77FAF">
        <w:t xml:space="preserve"> per cent</w:t>
      </w:r>
      <w:r w:rsidR="00AE2A05">
        <w:t xml:space="preserve"> of </w:t>
      </w:r>
      <w:r w:rsidR="0028023F">
        <w:t>all pipelines in Canada</w:t>
      </w:r>
      <w:proofErr w:type="gramStart"/>
      <w:r w:rsidR="00AE2A05">
        <w:t xml:space="preserve">. </w:t>
      </w:r>
      <w:r w:rsidRPr="00687FDA">
        <w:t xml:space="preserve"> </w:t>
      </w:r>
      <w:proofErr w:type="gramEnd"/>
      <w:r w:rsidR="005D11B6" w:rsidRPr="00687FDA">
        <w:t>The CER</w:t>
      </w:r>
      <w:r w:rsidR="00005C1E" w:rsidRPr="00687FDA">
        <w:t xml:space="preserve">’s mandate also includes regulation of international power lines and designated inter-provincial power lines, offshore renewable projects, and </w:t>
      </w:r>
      <w:r w:rsidR="00DF3A04">
        <w:t>publishing</w:t>
      </w:r>
      <w:r w:rsidR="00687FDA" w:rsidRPr="00687FDA">
        <w:t xml:space="preserve"> fact-based information</w:t>
      </w:r>
      <w:r w:rsidR="00C2280A">
        <w:t xml:space="preserve"> on energy markets and supply, sources of energy and safety and security of pipelines and powerlines</w:t>
      </w:r>
      <w:r w:rsidR="00687FDA" w:rsidRPr="00687FDA">
        <w:t xml:space="preserve">. </w:t>
      </w:r>
      <w:r w:rsidR="00CC2815" w:rsidRPr="009D3230">
        <w:t xml:space="preserve">While there are no </w:t>
      </w:r>
      <w:proofErr w:type="gramStart"/>
      <w:r w:rsidR="00CC2815" w:rsidRPr="009D3230">
        <w:t>federally-regulated</w:t>
      </w:r>
      <w:proofErr w:type="gramEnd"/>
      <w:r w:rsidR="00CC2815" w:rsidRPr="009D3230">
        <w:t xml:space="preserve"> hydrogen pipelines in Canada at the moment, </w:t>
      </w:r>
      <w:r w:rsidR="00CC2815">
        <w:t xml:space="preserve">the </w:t>
      </w:r>
      <w:r w:rsidR="00CC2815" w:rsidRPr="00D03176">
        <w:t>CER is prepar</w:t>
      </w:r>
      <w:r w:rsidR="00CC2815">
        <w:t>ed</w:t>
      </w:r>
      <w:r w:rsidR="00CC2815" w:rsidRPr="00D03176">
        <w:t xml:space="preserve"> to </w:t>
      </w:r>
      <w:r w:rsidR="00C77FAF">
        <w:t>regulate</w:t>
      </w:r>
      <w:r w:rsidR="00C77FAF" w:rsidRPr="00D03176">
        <w:t xml:space="preserve"> </w:t>
      </w:r>
      <w:r w:rsidR="00CC2815">
        <w:t xml:space="preserve">these in the future as we progress towards a low-carbon economy.  </w:t>
      </w:r>
      <w:r w:rsidRPr="00687FDA">
        <w:t xml:space="preserve">In regulating energy infrastructure, the </w:t>
      </w:r>
      <w:r w:rsidR="00035251" w:rsidRPr="00687FDA">
        <w:t xml:space="preserve">CER </w:t>
      </w:r>
      <w:r w:rsidR="00BE435F" w:rsidRPr="00687FDA">
        <w:t>enforc</w:t>
      </w:r>
      <w:r w:rsidR="00035251" w:rsidRPr="00687FDA">
        <w:t>es</w:t>
      </w:r>
      <w:r w:rsidR="00BE435F" w:rsidRPr="00687FDA">
        <w:t xml:space="preserve"> </w:t>
      </w:r>
      <w:proofErr w:type="gramStart"/>
      <w:r w:rsidR="00BE435F" w:rsidRPr="00687FDA">
        <w:t>some of</w:t>
      </w:r>
      <w:proofErr w:type="gramEnd"/>
      <w:r w:rsidR="00BE435F" w:rsidRPr="00687FDA">
        <w:t xml:space="preserve"> the strictest safety and environmental standards in the world. </w:t>
      </w:r>
    </w:p>
    <w:p w14:paraId="14F035C6" w14:textId="77777777" w:rsidR="00CC2815" w:rsidRDefault="00CC2815" w:rsidP="00005C1E"/>
    <w:p w14:paraId="209E1418" w14:textId="57434A8A" w:rsidR="00BE435F" w:rsidRDefault="00531767" w:rsidP="00005C1E">
      <w:r>
        <w:t>In making decisions and recommendations on the construction and operation of new facilities, t</w:t>
      </w:r>
      <w:r w:rsidR="00BE435F" w:rsidRPr="00687FDA">
        <w:t>he Commission of the CER (</w:t>
      </w:r>
      <w:r w:rsidR="00BE435F" w:rsidRPr="00ED7F90">
        <w:rPr>
          <w:b/>
          <w:bCs/>
        </w:rPr>
        <w:t>Commission</w:t>
      </w:r>
      <w:r w:rsidR="00BE435F" w:rsidRPr="00687FDA">
        <w:t>)</w:t>
      </w:r>
      <w:r w:rsidR="00C2280A">
        <w:t xml:space="preserve"> </w:t>
      </w:r>
      <w:r>
        <w:t>considers</w:t>
      </w:r>
      <w:r w:rsidR="00BE435F" w:rsidRPr="00687FDA">
        <w:t xml:space="preserve"> whether the proposed project is in the public interest based on factors outlined in the </w:t>
      </w:r>
      <w:r w:rsidR="00BE435F" w:rsidRPr="00687FDA">
        <w:rPr>
          <w:i/>
          <w:iCs/>
        </w:rPr>
        <w:t>Canadian Energy Regulator Act</w:t>
      </w:r>
      <w:r w:rsidR="00BE435F" w:rsidRPr="00687FDA">
        <w:t xml:space="preserve"> (</w:t>
      </w:r>
      <w:r w:rsidR="00BE435F" w:rsidRPr="00ED7F90">
        <w:rPr>
          <w:b/>
          <w:bCs/>
        </w:rPr>
        <w:t>CER Act</w:t>
      </w:r>
      <w:r w:rsidR="00BE435F" w:rsidRPr="00687FDA">
        <w:t xml:space="preserve">). </w:t>
      </w:r>
      <w:r w:rsidR="0008658D">
        <w:t>In 2019, t</w:t>
      </w:r>
      <w:r w:rsidR="00005C1E" w:rsidRPr="00687FD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 CER Act introduced a new factor </w:t>
      </w:r>
      <w:r w:rsidR="00005C1E" w:rsidRPr="00687FDA">
        <w:t xml:space="preserve">for </w:t>
      </w:r>
      <w:r>
        <w:t>consideration in decision-making</w:t>
      </w:r>
      <w:r w:rsidR="009D3230">
        <w:t>, i.e.,</w:t>
      </w:r>
      <w:r w:rsidR="00DF3A0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CC0070">
        <w:rPr>
          <w:rStyle w:val="normaltextrun"/>
          <w:rFonts w:ascii="Calibri" w:hAnsi="Calibri" w:cs="Calibri"/>
          <w:color w:val="000000"/>
          <w:shd w:val="clear" w:color="auto" w:fill="FFFFFF"/>
        </w:rPr>
        <w:t>the extent to which the effects of a pipeline</w:t>
      </w:r>
      <w:r w:rsidR="00DF3A04" w:rsidRPr="00687FD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hinder </w:t>
      </w:r>
      <w:r w:rsidR="00CC007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or contribute to </w:t>
      </w:r>
      <w:r w:rsidR="00DF3A04" w:rsidRPr="00687FDA">
        <w:rPr>
          <w:rStyle w:val="normaltextrun"/>
          <w:rFonts w:ascii="Calibri" w:hAnsi="Calibri" w:cs="Calibri"/>
          <w:color w:val="000000"/>
          <w:shd w:val="clear" w:color="auto" w:fill="FFFFFF"/>
        </w:rPr>
        <w:t>the Government of Canada’s ability to meet its environmental obligations and commitments to climate change</w:t>
      </w:r>
      <w:proofErr w:type="gramStart"/>
      <w:r w:rsidR="00DF3A04" w:rsidRPr="00687FD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 w:rsidR="00DF3A04" w:rsidRPr="00687FDA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proofErr w:type="gramEnd"/>
      <w:r w:rsidR="00BE435F" w:rsidRPr="00687FDA">
        <w:t xml:space="preserve">In its consideration, the Commission must set out the conditions under which a project could </w:t>
      </w:r>
      <w:proofErr w:type="gramStart"/>
      <w:r w:rsidR="00BE435F" w:rsidRPr="00687FDA">
        <w:t>be found</w:t>
      </w:r>
      <w:proofErr w:type="gramEnd"/>
      <w:r w:rsidR="00BE435F" w:rsidRPr="00687FDA">
        <w:t xml:space="preserve"> to be in the Canadian public interest. In addition to a company’s proposed mitigation</w:t>
      </w:r>
      <w:r w:rsidR="000A4B1F">
        <w:t xml:space="preserve"> to </w:t>
      </w:r>
      <w:r w:rsidR="00140BF5">
        <w:t>minimize</w:t>
      </w:r>
      <w:r w:rsidR="000A4B1F">
        <w:t xml:space="preserve"> </w:t>
      </w:r>
      <w:r w:rsidR="00C77FAF">
        <w:t>greenhouse gas (</w:t>
      </w:r>
      <w:r w:rsidR="00C77FAF" w:rsidRPr="0024353D">
        <w:rPr>
          <w:b/>
          <w:bCs/>
        </w:rPr>
        <w:t>GHG</w:t>
      </w:r>
      <w:r w:rsidR="00C77FAF">
        <w:t>) emissions</w:t>
      </w:r>
      <w:r w:rsidR="00BE435F" w:rsidRPr="00687FDA">
        <w:t xml:space="preserve">, conditions of approval </w:t>
      </w:r>
      <w:r w:rsidR="004337B6">
        <w:t xml:space="preserve">may </w:t>
      </w:r>
      <w:proofErr w:type="gramStart"/>
      <w:r w:rsidR="004337B6">
        <w:t>be</w:t>
      </w:r>
      <w:r w:rsidR="004337B6" w:rsidRPr="00687FDA">
        <w:t xml:space="preserve"> </w:t>
      </w:r>
      <w:r w:rsidR="00BE435F" w:rsidRPr="00687FDA">
        <w:t>attached</w:t>
      </w:r>
      <w:proofErr w:type="gramEnd"/>
      <w:r w:rsidR="00BE435F" w:rsidRPr="00687FDA">
        <w:t xml:space="preserve"> to any recommendation or decision.</w:t>
      </w:r>
      <w:r w:rsidR="00BE435F">
        <w:t xml:space="preserve"> </w:t>
      </w:r>
    </w:p>
    <w:p w14:paraId="6A8E37B1" w14:textId="6CCC467E" w:rsidR="00687FDA" w:rsidRDefault="00687FDA" w:rsidP="00687FDA">
      <w:pPr>
        <w:pStyle w:val="NormalWeb"/>
      </w:pPr>
      <w:r>
        <w:t xml:space="preserve">This paper focuses on </w:t>
      </w:r>
      <w:r w:rsidR="007E1BFB">
        <w:t xml:space="preserve">CER’s </w:t>
      </w:r>
      <w:r w:rsidR="0024353D" w:rsidRPr="0024353D">
        <w:rPr>
          <w:b/>
          <w:bCs/>
        </w:rPr>
        <w:t>GHG</w:t>
      </w:r>
      <w:r w:rsidR="0024353D">
        <w:t xml:space="preserve"> emissions </w:t>
      </w:r>
      <w:r w:rsidR="007E1BFB">
        <w:t xml:space="preserve">and climate change </w:t>
      </w:r>
      <w:r>
        <w:t>consideration</w:t>
      </w:r>
      <w:r w:rsidR="007E1BFB">
        <w:t xml:space="preserve">s for </w:t>
      </w:r>
      <w:r w:rsidR="0033352F">
        <w:t xml:space="preserve">new </w:t>
      </w:r>
      <w:r>
        <w:t>pipeline project</w:t>
      </w:r>
      <w:r w:rsidR="0033352F" w:rsidRPr="0033352F">
        <w:t xml:space="preserve"> </w:t>
      </w:r>
      <w:r w:rsidR="0033352F">
        <w:t>assessments</w:t>
      </w:r>
      <w:r>
        <w:t xml:space="preserve">, and specifically discusses the challenges and opportunities related to </w:t>
      </w:r>
      <w:r w:rsidR="007E1BFB">
        <w:t xml:space="preserve">the </w:t>
      </w:r>
      <w:r w:rsidR="004337B6">
        <w:t xml:space="preserve">requirement </w:t>
      </w:r>
      <w:r w:rsidR="00B85D45">
        <w:t xml:space="preserve">for </w:t>
      </w:r>
      <w:r w:rsidR="007E1BFB">
        <w:t>net-zero plans. I</w:t>
      </w:r>
      <w:r w:rsidR="00ED7F90">
        <w:t xml:space="preserve">t also </w:t>
      </w:r>
      <w:r>
        <w:t xml:space="preserve">endeavors to share learnings from the early days of implementation of these considerations. </w:t>
      </w:r>
    </w:p>
    <w:p w14:paraId="7083FAF5" w14:textId="52A7BCAD" w:rsidR="00BE435F" w:rsidRDefault="00000000" w:rsidP="00687FDA">
      <w:pPr>
        <w:pStyle w:val="ListParagraph"/>
        <w:numPr>
          <w:ilvl w:val="0"/>
          <w:numId w:val="1"/>
        </w:numPr>
        <w:rPr>
          <w:b/>
          <w:bCs/>
        </w:rPr>
      </w:pPr>
      <w:hyperlink r:id="rId8" w:history="1">
        <w:r w:rsidR="005D11B6" w:rsidRPr="00687FDA">
          <w:rPr>
            <w:b/>
            <w:bCs/>
          </w:rPr>
          <w:t>Canada’s climate</w:t>
        </w:r>
        <w:r w:rsidR="00A40C31">
          <w:rPr>
            <w:b/>
            <w:bCs/>
          </w:rPr>
          <w:t xml:space="preserve"> change commitments and obligations</w:t>
        </w:r>
        <w:r w:rsidR="005D11B6" w:rsidRPr="00687FDA">
          <w:rPr>
            <w:b/>
            <w:bCs/>
          </w:rPr>
          <w:t xml:space="preserve"> </w:t>
        </w:r>
      </w:hyperlink>
    </w:p>
    <w:p w14:paraId="2C5253D1" w14:textId="10B464C8" w:rsidR="00687FDA" w:rsidRDefault="00DF3A04" w:rsidP="00687FDA">
      <w:r>
        <w:t>Canada is a signatory to the Paris Agreement and is taking action</w:t>
      </w:r>
      <w:r w:rsidR="000F6E97">
        <w:t>s</w:t>
      </w:r>
      <w:r>
        <w:t xml:space="preserve"> to reduce GHG emissions from the oil and gas sector – the largest source of GHG emissions in Canada. The Go</w:t>
      </w:r>
      <w:r w:rsidR="00ED7F90">
        <w:t xml:space="preserve">vernment of </w:t>
      </w:r>
      <w:r w:rsidR="00B528B5" w:rsidRPr="00B528B5">
        <w:t>Canada established the </w:t>
      </w:r>
      <w:hyperlink r:id="rId9" w:history="1">
        <w:r w:rsidR="00B528B5" w:rsidRPr="00B528B5">
          <w:t>2030 Emissions Reduction Plan</w:t>
        </w:r>
      </w:hyperlink>
      <w:r w:rsidR="00B528B5" w:rsidRPr="00B528B5">
        <w:t> in 2022 (</w:t>
      </w:r>
      <w:r w:rsidR="0033352F">
        <w:t xml:space="preserve">which lays out the plan to achieve </w:t>
      </w:r>
      <w:r w:rsidR="00B528B5" w:rsidRPr="00B528B5">
        <w:t>40 to 45</w:t>
      </w:r>
      <w:r w:rsidR="00C77FAF">
        <w:t xml:space="preserve"> per cent</w:t>
      </w:r>
      <w:r w:rsidR="00B528B5" w:rsidRPr="00B528B5">
        <w:t xml:space="preserve"> below 2005 levels by 2030) </w:t>
      </w:r>
      <w:r w:rsidR="00ED7F90">
        <w:t xml:space="preserve">as an early deliverable under the </w:t>
      </w:r>
      <w:r w:rsidR="00ED7F90" w:rsidRPr="00ED7F90">
        <w:rPr>
          <w:i/>
          <w:iCs/>
        </w:rPr>
        <w:t>Canadian Net-Zero Accountability Act</w:t>
      </w:r>
      <w:r w:rsidR="00ED7F90">
        <w:rPr>
          <w:i/>
          <w:iCs/>
        </w:rPr>
        <w:t xml:space="preserve">, </w:t>
      </w:r>
      <w:r w:rsidR="00ED7F90">
        <w:t xml:space="preserve"> and </w:t>
      </w:r>
      <w:r w:rsidR="00B528B5" w:rsidRPr="00B528B5">
        <w:t>to provide a credible roadmap to achiev</w:t>
      </w:r>
      <w:r w:rsidR="00B528B5">
        <w:t xml:space="preserve">ing its </w:t>
      </w:r>
      <w:r w:rsidR="00B528B5" w:rsidRPr="00B528B5">
        <w:t>net-zero emissions by 2050. Also</w:t>
      </w:r>
      <w:r w:rsidR="00B528B5">
        <w:t xml:space="preserve">, </w:t>
      </w:r>
      <w:r w:rsidR="00B528B5" w:rsidRPr="00B528B5">
        <w:t xml:space="preserve">Canada committed to develop </w:t>
      </w:r>
      <w:r w:rsidR="0033352F">
        <w:t xml:space="preserve">a </w:t>
      </w:r>
      <w:hyperlink r:id="rId10" w:history="1">
        <w:r w:rsidR="00B528B5" w:rsidRPr="00B528B5">
          <w:t>National Adaptation Strategy</w:t>
        </w:r>
      </w:hyperlink>
      <w:r w:rsidR="0033352F">
        <w:t xml:space="preserve">, which will </w:t>
      </w:r>
      <w:r w:rsidR="00F17CE6">
        <w:t xml:space="preserve">establish shared goals and  collaborative efforts to manage climate resilience. </w:t>
      </w:r>
    </w:p>
    <w:p w14:paraId="56C2BCD6" w14:textId="0AC0BA2F" w:rsidR="00EF47F2" w:rsidRPr="00EF47F2" w:rsidRDefault="00EF47F2" w:rsidP="00EF47F2">
      <w:r w:rsidRPr="00EF47F2">
        <w:lastRenderedPageBreak/>
        <w:t xml:space="preserve">To support progress on the various commitments, </w:t>
      </w:r>
      <w:r w:rsidRPr="00ED7F90">
        <w:t>Environment and Climate Change Canada (</w:t>
      </w:r>
      <w:r w:rsidRPr="00ED7F90">
        <w:rPr>
          <w:b/>
          <w:bCs/>
        </w:rPr>
        <w:t>ECCC</w:t>
      </w:r>
      <w:r w:rsidRPr="00ED7F90">
        <w:t xml:space="preserve">) </w:t>
      </w:r>
      <w:r w:rsidRPr="00EF47F2">
        <w:t>released a </w:t>
      </w:r>
      <w:hyperlink r:id="rId11" w:history="1">
        <w:r w:rsidRPr="00EF47F2">
          <w:t>Strategic Assessment of Climate Change</w:t>
        </w:r>
      </w:hyperlink>
      <w:r w:rsidR="004337B6">
        <w:t xml:space="preserve"> </w:t>
      </w:r>
      <w:r w:rsidRPr="00EF47F2">
        <w:t>(</w:t>
      </w:r>
      <w:r w:rsidRPr="00EF47F2">
        <w:rPr>
          <w:b/>
          <w:bCs/>
        </w:rPr>
        <w:t>SACC</w:t>
      </w:r>
      <w:r w:rsidRPr="00EF47F2">
        <w:t xml:space="preserve">) in October 2020. </w:t>
      </w:r>
      <w:r w:rsidR="004337B6">
        <w:t xml:space="preserve">The SACC aims to </w:t>
      </w:r>
      <w:r w:rsidR="004337B6" w:rsidRPr="00A96124">
        <w:t xml:space="preserve">enable consistent, predictable, </w:t>
      </w:r>
      <w:proofErr w:type="gramStart"/>
      <w:r w:rsidR="004337B6" w:rsidRPr="00A96124">
        <w:t>efficient</w:t>
      </w:r>
      <w:proofErr w:type="gramEnd"/>
      <w:r w:rsidR="004337B6" w:rsidRPr="00A96124">
        <w:t xml:space="preserve"> and transparent consideration of climate change throughout the impact assessment process.</w:t>
      </w:r>
      <w:r w:rsidR="004337B6">
        <w:rPr>
          <w:rFonts w:ascii="Arial" w:hAnsi="Arial" w:cs="Arial"/>
          <w:color w:val="000000"/>
          <w:shd w:val="clear" w:color="auto" w:fill="FFFFFF"/>
        </w:rPr>
        <w:t> </w:t>
      </w:r>
      <w:r w:rsidR="004337B6" w:rsidRPr="00A96124">
        <w:t xml:space="preserve">Among other things, </w:t>
      </w:r>
      <w:r w:rsidR="004337B6">
        <w:t>t</w:t>
      </w:r>
      <w:r w:rsidRPr="00EF47F2">
        <w:t xml:space="preserve">he SACC </w:t>
      </w:r>
      <w:r w:rsidR="004337B6">
        <w:t>requires that</w:t>
      </w:r>
      <w:r w:rsidRPr="00EF47F2">
        <w:t xml:space="preserve"> applicants of projects with a lifetime beyond 2050 provide a credible plan that describes how the project will achieve net-zero emissions by 2050</w:t>
      </w:r>
      <w:r w:rsidR="0072142B">
        <w:t>.</w:t>
      </w:r>
    </w:p>
    <w:p w14:paraId="11D6BEFD" w14:textId="751F317E" w:rsidR="00F91D77" w:rsidRPr="00A40C31" w:rsidRDefault="00A40C31" w:rsidP="00EF3989">
      <w:pPr>
        <w:pStyle w:val="ListParagraph"/>
        <w:numPr>
          <w:ilvl w:val="0"/>
          <w:numId w:val="1"/>
        </w:numPr>
        <w:rPr>
          <w:b/>
          <w:bCs/>
        </w:rPr>
      </w:pPr>
      <w:r w:rsidRPr="00A40C31">
        <w:rPr>
          <w:b/>
          <w:bCs/>
        </w:rPr>
        <w:t xml:space="preserve">CER’s filing guidance on </w:t>
      </w:r>
      <w:r w:rsidR="00BE435F" w:rsidRPr="00A40C31">
        <w:rPr>
          <w:b/>
          <w:bCs/>
        </w:rPr>
        <w:t xml:space="preserve">GHG </w:t>
      </w:r>
      <w:r w:rsidRPr="00A40C31">
        <w:rPr>
          <w:b/>
          <w:bCs/>
        </w:rPr>
        <w:t xml:space="preserve">emissions and climate change </w:t>
      </w:r>
      <w:r w:rsidR="00BE435F" w:rsidRPr="00A40C31">
        <w:rPr>
          <w:b/>
          <w:bCs/>
        </w:rPr>
        <w:t>considerations</w:t>
      </w:r>
    </w:p>
    <w:p w14:paraId="5A460FE4" w14:textId="22875596" w:rsidR="00785F07" w:rsidRPr="00156D55" w:rsidRDefault="00785F07" w:rsidP="00785F07">
      <w:r>
        <w:t>The CER has a role to play in reducing GHG emissions and tackling climate change when regulating energy projects. The CER’s Filing Manual provide</w:t>
      </w:r>
      <w:r w:rsidR="009E4B2B">
        <w:t>s</w:t>
      </w:r>
      <w:r>
        <w:t xml:space="preserve"> guidance to companies regarding the information they need to include in a project application which aligns with SACC</w:t>
      </w:r>
      <w:proofErr w:type="gramStart"/>
      <w:r w:rsidRPr="0072142B">
        <w:t xml:space="preserve">.  </w:t>
      </w:r>
      <w:proofErr w:type="gramEnd"/>
    </w:p>
    <w:p w14:paraId="6B9BC93A" w14:textId="2C7D6CC0" w:rsidR="00A40C31" w:rsidRPr="00B1572C" w:rsidRDefault="00DD3AED" w:rsidP="0055723B">
      <w:pPr>
        <w:spacing w:after="100" w:afterAutospacing="1" w:line="240" w:lineRule="auto"/>
      </w:pPr>
      <w:r>
        <w:t>The CER has recently updated its filing guidance around</w:t>
      </w:r>
      <w:r w:rsidR="0055723B">
        <w:t xml:space="preserve"> </w:t>
      </w:r>
      <w:r w:rsidR="00B85D45">
        <w:t xml:space="preserve">the </w:t>
      </w:r>
      <w:r w:rsidR="0055723B">
        <w:t>GHG emissions and climate change factor</w:t>
      </w:r>
      <w:r>
        <w:t xml:space="preserve">. This updated guidance </w:t>
      </w:r>
      <w:r w:rsidR="0055723B">
        <w:t xml:space="preserve">supports the Commission in determining the extent to which the effects of the project may hinder or contribute to Canada’s climate change commitments. </w:t>
      </w:r>
      <w:r w:rsidR="00A40C31" w:rsidRPr="00B1572C">
        <w:t xml:space="preserve">Key elements that </w:t>
      </w:r>
      <w:r w:rsidR="002D473B">
        <w:t xml:space="preserve">applicants </w:t>
      </w:r>
      <w:proofErr w:type="gramStart"/>
      <w:r w:rsidR="002D473B">
        <w:t>are expected</w:t>
      </w:r>
      <w:proofErr w:type="gramEnd"/>
      <w:r w:rsidR="002D473B">
        <w:t xml:space="preserve"> to provide for the Commission’s consideration include:</w:t>
      </w:r>
      <w:r w:rsidR="002D473B" w:rsidRPr="00B1572C">
        <w:t xml:space="preserve"> </w:t>
      </w:r>
    </w:p>
    <w:p w14:paraId="5283AE1B" w14:textId="37837FE9" w:rsidR="00A40C31" w:rsidRPr="00A40C31" w:rsidRDefault="00A40C31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A40C31">
        <w:rPr>
          <w:i/>
          <w:iCs/>
          <w:sz w:val="22"/>
          <w:szCs w:val="22"/>
        </w:rPr>
        <w:t>Magnitude of GHG emissions</w:t>
      </w:r>
    </w:p>
    <w:p w14:paraId="655483F7" w14:textId="2B0476B1" w:rsidR="00A40C31" w:rsidRDefault="00A40C31" w:rsidP="00A40C31">
      <w:pPr>
        <w:autoSpaceDE w:val="0"/>
        <w:autoSpaceDN w:val="0"/>
        <w:adjustRightInd w:val="0"/>
        <w:spacing w:after="100" w:afterAutospacing="1" w:line="240" w:lineRule="auto"/>
      </w:pPr>
      <w:r w:rsidRPr="00B1572C">
        <w:t xml:space="preserve">In assessing the magnitude of emissions, the Commission considers the sources of direct and </w:t>
      </w:r>
      <w:r>
        <w:t xml:space="preserve">acquired energy (purchased from a third-party) </w:t>
      </w:r>
      <w:r w:rsidRPr="00B1572C">
        <w:t xml:space="preserve">that would </w:t>
      </w:r>
      <w:proofErr w:type="gramStart"/>
      <w:r w:rsidRPr="00B1572C">
        <w:t>be expected</w:t>
      </w:r>
      <w:proofErr w:type="gramEnd"/>
      <w:r w:rsidRPr="00B1572C">
        <w:t xml:space="preserve"> throughout the entire lifecycle of a project. GHG emissions associated with </w:t>
      </w:r>
      <w:r w:rsidRPr="0072142B">
        <w:t xml:space="preserve">project construction </w:t>
      </w:r>
      <w:proofErr w:type="gramStart"/>
      <w:r w:rsidRPr="0072142B">
        <w:t xml:space="preserve">generally </w:t>
      </w:r>
      <w:r w:rsidR="009D3230">
        <w:t>arise</w:t>
      </w:r>
      <w:proofErr w:type="gramEnd"/>
      <w:r w:rsidR="009D3230" w:rsidRPr="0072142B">
        <w:t xml:space="preserve"> </w:t>
      </w:r>
      <w:r w:rsidRPr="0072142B">
        <w:t xml:space="preserve">from sources such as operation of construction equipment, land-use change (e.g., clearing), and biomass burning. GHG emissions associated with project operation vary based on product carried, throughput capacity, individual design, and </w:t>
      </w:r>
      <w:r w:rsidR="00F17CE6" w:rsidRPr="0072142B">
        <w:t>number of c</w:t>
      </w:r>
      <w:r w:rsidRPr="0072142B">
        <w:t>omponent</w:t>
      </w:r>
      <w:r w:rsidR="00F17CE6" w:rsidRPr="0072142B">
        <w:t>s</w:t>
      </w:r>
      <w:r w:rsidRPr="0072142B">
        <w:t>. Line</w:t>
      </w:r>
      <w:r w:rsidRPr="00B1572C">
        <w:t xml:space="preserve"> compression is typically the largest direct GHG emission source for natural gas pipeline projects</w:t>
      </w:r>
      <w:r w:rsidR="007732AC">
        <w:t xml:space="preserve">. </w:t>
      </w:r>
      <w:r w:rsidRPr="00B1572C">
        <w:t>Other sources of operational emissions may include maintenance activities</w:t>
      </w:r>
      <w:r w:rsidR="007732AC">
        <w:t xml:space="preserve">, </w:t>
      </w:r>
      <w:r w:rsidRPr="00B1572C">
        <w:t xml:space="preserve">and fugitive emissions from valves, connectors, pumps, and tanks. For facilities with </w:t>
      </w:r>
      <w:proofErr w:type="gramStart"/>
      <w:r w:rsidRPr="00B1572C">
        <w:t>electrically</w:t>
      </w:r>
      <w:r w:rsidR="00BD4221">
        <w:t>-</w:t>
      </w:r>
      <w:r w:rsidRPr="00B1572C">
        <w:t>driven</w:t>
      </w:r>
      <w:proofErr w:type="gramEnd"/>
      <w:r w:rsidRPr="00B1572C">
        <w:t xml:space="preserve"> equipment GHG emissions could </w:t>
      </w:r>
      <w:r w:rsidR="009D3230">
        <w:t xml:space="preserve">arise </w:t>
      </w:r>
      <w:r w:rsidRPr="00B1572C">
        <w:t xml:space="preserve">from onsite power generation (direct emissions) or </w:t>
      </w:r>
      <w:r>
        <w:t>energy purchased from a third-party</w:t>
      </w:r>
      <w:r w:rsidRPr="00B1572C">
        <w:t xml:space="preserve"> </w:t>
      </w:r>
      <w:r>
        <w:t>source (indirect emissions).</w:t>
      </w:r>
      <w:r w:rsidRPr="00B1572C">
        <w:t xml:space="preserve">  </w:t>
      </w:r>
    </w:p>
    <w:p w14:paraId="0A998FBD" w14:textId="3CEB2E5D" w:rsidR="007732AC" w:rsidRPr="00B1572C" w:rsidRDefault="007732AC" w:rsidP="00A40C31">
      <w:pPr>
        <w:autoSpaceDE w:val="0"/>
        <w:autoSpaceDN w:val="0"/>
        <w:adjustRightInd w:val="0"/>
        <w:spacing w:after="100" w:afterAutospacing="1" w:line="240" w:lineRule="auto"/>
      </w:pPr>
      <w:r>
        <w:t>Applicants</w:t>
      </w:r>
      <w:r w:rsidRPr="00B1572C">
        <w:t xml:space="preserve"> </w:t>
      </w:r>
      <w:proofErr w:type="gramStart"/>
      <w:r>
        <w:t>are required</w:t>
      </w:r>
      <w:proofErr w:type="gramEnd"/>
      <w:r>
        <w:t xml:space="preserve"> to </w:t>
      </w:r>
      <w:r w:rsidRPr="00B1572C">
        <w:t>provide a comparison of the project’s predicted GHG emission intensity to the emission</w:t>
      </w:r>
      <w:r>
        <w:t>s</w:t>
      </w:r>
      <w:r w:rsidRPr="00B1572C">
        <w:t xml:space="preserve"> intensity of </w:t>
      </w:r>
      <w:bookmarkStart w:id="0" w:name="_Hlk122079965"/>
      <w:r w:rsidRPr="00795844">
        <w:t xml:space="preserve">projects similar in nature, scope, and scale. </w:t>
      </w:r>
      <w:bookmarkEnd w:id="0"/>
      <w:r>
        <w:t>Applicants should</w:t>
      </w:r>
      <w:r w:rsidRPr="00B1572C">
        <w:t xml:space="preserve"> </w:t>
      </w:r>
      <w:r>
        <w:t xml:space="preserve">also </w:t>
      </w:r>
      <w:r w:rsidRPr="00B1572C">
        <w:t xml:space="preserve">provide a comparison of the project’s magnitude of predicted project emissions </w:t>
      </w:r>
      <w:r>
        <w:t>to</w:t>
      </w:r>
      <w:r w:rsidRPr="00B1572C">
        <w:t xml:space="preserve"> </w:t>
      </w:r>
      <w:r>
        <w:t xml:space="preserve">national </w:t>
      </w:r>
      <w:proofErr w:type="gramStart"/>
      <w:r w:rsidR="00951DFF">
        <w:t>sector</w:t>
      </w:r>
      <w:r w:rsidR="00B85D45">
        <w:t>-</w:t>
      </w:r>
      <w:r w:rsidR="00951DFF">
        <w:t>based</w:t>
      </w:r>
      <w:proofErr w:type="gramEnd"/>
      <w:r>
        <w:t xml:space="preserve"> GHG emissions, total </w:t>
      </w:r>
      <w:r w:rsidRPr="00B1572C">
        <w:t>provincial</w:t>
      </w:r>
      <w:r>
        <w:t xml:space="preserve"> GHG emissions</w:t>
      </w:r>
      <w:r w:rsidRPr="00B1572C">
        <w:t>, as well as to Canada’s GHG reduction targets</w:t>
      </w:r>
      <w:r w:rsidR="0055723B">
        <w:t xml:space="preserve">. </w:t>
      </w:r>
    </w:p>
    <w:p w14:paraId="20BB1B5A" w14:textId="04A40BDA" w:rsidR="00A40C31" w:rsidRDefault="00A40C31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A40C31">
        <w:rPr>
          <w:i/>
          <w:iCs/>
          <w:sz w:val="22"/>
          <w:szCs w:val="22"/>
        </w:rPr>
        <w:t>Mitigation measures for GHG emissions</w:t>
      </w:r>
    </w:p>
    <w:p w14:paraId="7011D07A" w14:textId="6BBA9765" w:rsidR="007732AC" w:rsidRPr="00B1572C" w:rsidRDefault="007732AC" w:rsidP="007732AC">
      <w:pPr>
        <w:spacing w:after="100" w:afterAutospacing="1" w:line="240" w:lineRule="auto"/>
      </w:pPr>
      <w:r>
        <w:t>Applicants</w:t>
      </w:r>
      <w:r w:rsidRPr="00B1572C">
        <w:t xml:space="preserve"> </w:t>
      </w:r>
      <w:proofErr w:type="gramStart"/>
      <w:r w:rsidRPr="00B1572C">
        <w:t>are expected</w:t>
      </w:r>
      <w:proofErr w:type="gramEnd"/>
      <w:r w:rsidRPr="00B1572C">
        <w:t xml:space="preserve"> to</w:t>
      </w:r>
      <w:r w:rsidR="00F17CE6">
        <w:t xml:space="preserve"> consider</w:t>
      </w:r>
      <w:r w:rsidRPr="00B1572C">
        <w:t xml:space="preserve"> various mitigation measures and best available technologies and environmental practices to minimize GHG emissions in each phase of </w:t>
      </w:r>
      <w:r>
        <w:t>the lifecycle</w:t>
      </w:r>
      <w:r w:rsidRPr="00B1572C">
        <w:t xml:space="preserve">, from clearing through to abandonment. Considering potential mitigation measures early in the design and planning phase offers opportunities to identify and plan GHG reductions. For example, in a </w:t>
      </w:r>
      <w:r>
        <w:t>p</w:t>
      </w:r>
      <w:r w:rsidRPr="00B1572C">
        <w:t>roject application, a</w:t>
      </w:r>
      <w:r>
        <w:t>n applicant</w:t>
      </w:r>
      <w:r w:rsidRPr="00B1572C">
        <w:t xml:space="preserve"> may propose situating a project in a location that requires less biomass removal</w:t>
      </w:r>
      <w:r>
        <w:t>,</w:t>
      </w:r>
      <w:r w:rsidRPr="00B1572C">
        <w:t xml:space="preserve"> or </w:t>
      </w:r>
      <w:r>
        <w:t xml:space="preserve">they may </w:t>
      </w:r>
      <w:r w:rsidRPr="00B1572C">
        <w:t>propose capturing natural gas instead of venting.</w:t>
      </w:r>
    </w:p>
    <w:p w14:paraId="6A1733E9" w14:textId="37054C7C" w:rsidR="007732AC" w:rsidRDefault="007732AC" w:rsidP="007732AC">
      <w:pPr>
        <w:spacing w:after="100" w:afterAutospacing="1" w:line="240" w:lineRule="auto"/>
      </w:pPr>
      <w:r>
        <w:t>E</w:t>
      </w:r>
      <w:r w:rsidRPr="00B1572C">
        <w:t>fforts to mitigate GHG emissions continue to evolve and improve</w:t>
      </w:r>
      <w:r>
        <w:t>. As such, applicants</w:t>
      </w:r>
      <w:r w:rsidRPr="00B1572C">
        <w:t xml:space="preserve"> are encouraged to include a discussion of alternative measures or means that were considered and the rationale for selecting or eliminating certain measures</w:t>
      </w:r>
      <w:proofErr w:type="gramStart"/>
      <w:r w:rsidRPr="00B1572C">
        <w:t xml:space="preserve">.  </w:t>
      </w:r>
      <w:proofErr w:type="gramEnd"/>
      <w:r w:rsidRPr="00B1572C">
        <w:t xml:space="preserve">Where GHG emissions cannot be avoided or reduced, the </w:t>
      </w:r>
      <w:r w:rsidRPr="00B1572C">
        <w:lastRenderedPageBreak/>
        <w:t xml:space="preserve">additional measures </w:t>
      </w:r>
      <w:proofErr w:type="gramStart"/>
      <w:r w:rsidRPr="00B1572C">
        <w:t>above and beyond</w:t>
      </w:r>
      <w:proofErr w:type="gramEnd"/>
      <w:r w:rsidRPr="00B1572C">
        <w:t xml:space="preserve"> standard mitigation (i.e., offset measures) to further reduce GHG emissions, including </w:t>
      </w:r>
      <w:bookmarkStart w:id="1" w:name="_Hlk100842370"/>
      <w:r w:rsidRPr="00B1572C">
        <w:t>carbon dioxide captured and stored</w:t>
      </w:r>
      <w:bookmarkEnd w:id="1"/>
      <w:r w:rsidRPr="00B1572C">
        <w:t>, corporate-level initiatives</w:t>
      </w:r>
      <w:r>
        <w:t>,</w:t>
      </w:r>
      <w:r w:rsidRPr="00B1572C">
        <w:t xml:space="preserve"> and use of offset credits, may be considered. </w:t>
      </w:r>
      <w:r w:rsidR="009E4B2B">
        <w:t xml:space="preserve">The </w:t>
      </w:r>
      <w:r w:rsidR="00CC0070">
        <w:t>Filing Manual state</w:t>
      </w:r>
      <w:r w:rsidR="009E4B2B">
        <w:t>s</w:t>
      </w:r>
      <w:r w:rsidR="00CC0070">
        <w:t xml:space="preserve"> that o</w:t>
      </w:r>
      <w:r w:rsidR="0055723B" w:rsidRPr="00BB6DAA">
        <w:rPr>
          <w:iCs/>
        </w:rPr>
        <w:t xml:space="preserve">ffset measures (such as carbon dioxide captured and stored, corporate-level initiatives, and use of offset credits) should </w:t>
      </w:r>
      <w:proofErr w:type="gramStart"/>
      <w:r w:rsidR="0055723B" w:rsidRPr="00BB6DAA">
        <w:rPr>
          <w:iCs/>
        </w:rPr>
        <w:t>generally be</w:t>
      </w:r>
      <w:proofErr w:type="gramEnd"/>
      <w:r w:rsidR="0055723B" w:rsidRPr="00BB6DAA">
        <w:rPr>
          <w:iCs/>
        </w:rPr>
        <w:t xml:space="preserve"> considered a last resort when reasonable efforts at avoiding and mitigating the GHG emissions have been exhausted.</w:t>
      </w:r>
    </w:p>
    <w:p w14:paraId="51E728A5" w14:textId="4CA69C40" w:rsidR="00A40C31" w:rsidRDefault="00A40C31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A40C31">
        <w:rPr>
          <w:i/>
          <w:iCs/>
          <w:sz w:val="22"/>
          <w:szCs w:val="22"/>
        </w:rPr>
        <w:t>Net-zero plan</w:t>
      </w:r>
    </w:p>
    <w:p w14:paraId="5A1F56DB" w14:textId="37033E2A" w:rsidR="007732AC" w:rsidRPr="00B1572C" w:rsidRDefault="00CE716D" w:rsidP="007732AC">
      <w:pPr>
        <w:spacing w:after="100" w:afterAutospacing="1" w:line="240" w:lineRule="auto"/>
      </w:pPr>
      <w:r>
        <w:t>Applications</w:t>
      </w:r>
      <w:r w:rsidRPr="00B1572C">
        <w:t xml:space="preserve"> </w:t>
      </w:r>
      <w:proofErr w:type="gramStart"/>
      <w:r w:rsidR="007732AC" w:rsidRPr="00B1572C">
        <w:t>are expected</w:t>
      </w:r>
      <w:proofErr w:type="gramEnd"/>
      <w:r w:rsidR="007732AC" w:rsidRPr="00B1572C">
        <w:t xml:space="preserve"> to </w:t>
      </w:r>
      <w:r>
        <w:t>include</w:t>
      </w:r>
      <w:r w:rsidRPr="00B1572C">
        <w:t xml:space="preserve"> </w:t>
      </w:r>
      <w:r w:rsidR="007732AC" w:rsidRPr="00B1572C">
        <w:t xml:space="preserve">a net-zero plan for projects beyond 2050. </w:t>
      </w:r>
      <w:r w:rsidR="00C77FAF">
        <w:t>The</w:t>
      </w:r>
      <w:r w:rsidR="007732AC" w:rsidRPr="00B1572C">
        <w:t xml:space="preserve"> Filing Manual specif</w:t>
      </w:r>
      <w:r w:rsidR="00C77FAF">
        <w:t>ies</w:t>
      </w:r>
      <w:r w:rsidR="007732AC" w:rsidRPr="00B1572C">
        <w:t xml:space="preserve"> that </w:t>
      </w:r>
      <w:r w:rsidR="007732AC">
        <w:t>applicants</w:t>
      </w:r>
      <w:r w:rsidR="007732AC" w:rsidRPr="00B1572C">
        <w:t xml:space="preserve"> may submit either a project-specific or a corporate net-zero plan, depending on the nature, scope</w:t>
      </w:r>
      <w:r w:rsidR="007732AC">
        <w:t>,</w:t>
      </w:r>
      <w:r w:rsidR="007732AC" w:rsidRPr="00B1572C">
        <w:t xml:space="preserve"> and scale of the project</w:t>
      </w:r>
      <w:proofErr w:type="gramStart"/>
      <w:r w:rsidR="007732AC" w:rsidRPr="00B1572C">
        <w:t xml:space="preserve">.  </w:t>
      </w:r>
      <w:proofErr w:type="gramEnd"/>
    </w:p>
    <w:p w14:paraId="7F53EF3D" w14:textId="09890252" w:rsidR="007732AC" w:rsidRDefault="007732AC" w:rsidP="007732AC">
      <w:pPr>
        <w:spacing w:after="100" w:afterAutospacing="1" w:line="240" w:lineRule="auto"/>
      </w:pPr>
      <w:r w:rsidRPr="00B1572C">
        <w:t xml:space="preserve">The level of detail </w:t>
      </w:r>
      <w:r>
        <w:t xml:space="preserve">that the Commission </w:t>
      </w:r>
      <w:r w:rsidRPr="00B1572C">
        <w:t>expect</w:t>
      </w:r>
      <w:r>
        <w:t>s</w:t>
      </w:r>
      <w:r w:rsidRPr="00B1572C">
        <w:t xml:space="preserve"> in a </w:t>
      </w:r>
      <w:r>
        <w:t xml:space="preserve">net-zero plan </w:t>
      </w:r>
      <w:r w:rsidRPr="00B1572C">
        <w:t>depend</w:t>
      </w:r>
      <w:r w:rsidR="00CE716D">
        <w:t>s</w:t>
      </w:r>
      <w:r w:rsidRPr="00B1572C">
        <w:t xml:space="preserve"> on the nature of the project. For example, a compressor station that has significant point source GHG emissions released continually over </w:t>
      </w:r>
      <w:r w:rsidR="00CE716D">
        <w:t>its</w:t>
      </w:r>
      <w:r w:rsidR="00CE716D" w:rsidRPr="00B1572C">
        <w:t xml:space="preserve"> </w:t>
      </w:r>
      <w:r w:rsidRPr="00B1572C">
        <w:t xml:space="preserve">operating life </w:t>
      </w:r>
      <w:r w:rsidR="00CE716D">
        <w:t>is</w:t>
      </w:r>
      <w:r w:rsidR="00CE716D" w:rsidRPr="00B1572C">
        <w:t xml:space="preserve"> </w:t>
      </w:r>
      <w:r w:rsidRPr="00B1572C">
        <w:t>likely to require a net-zero plan to explain how the</w:t>
      </w:r>
      <w:r>
        <w:t xml:space="preserve"> applicant</w:t>
      </w:r>
      <w:r w:rsidRPr="00B1572C">
        <w:t xml:space="preserve"> will avoid, reduce, mitigate</w:t>
      </w:r>
      <w:r>
        <w:t>,</w:t>
      </w:r>
      <w:r w:rsidRPr="00B1572C">
        <w:t xml:space="preserve"> or offset these emissions in either a stepwise or gradual manner by the year 2050. For </w:t>
      </w:r>
      <w:r w:rsidR="009D3230">
        <w:t xml:space="preserve">activities that are incidental to a larger system that is the </w:t>
      </w:r>
      <w:r w:rsidRPr="00B1572C">
        <w:t>primary</w:t>
      </w:r>
      <w:r w:rsidR="009D3230">
        <w:t xml:space="preserve"> source of </w:t>
      </w:r>
      <w:r w:rsidRPr="00B1572C">
        <w:t xml:space="preserve">GHG </w:t>
      </w:r>
      <w:proofErr w:type="gramStart"/>
      <w:r w:rsidR="009D3230" w:rsidRPr="00B1572C">
        <w:t>emission</w:t>
      </w:r>
      <w:r w:rsidR="009D3230">
        <w:t>s</w:t>
      </w:r>
      <w:r w:rsidR="009D3230" w:rsidRPr="00B1572C">
        <w:t>,</w:t>
      </w:r>
      <w:r w:rsidR="009D3230">
        <w:t xml:space="preserve"> or</w:t>
      </w:r>
      <w:proofErr w:type="gramEnd"/>
      <w:r w:rsidRPr="00B1572C">
        <w:t xml:space="preserve"> are managed at a corporate level (such as compliance with a company-wide fugitive emission management program), adherence to a corporate plan for achieving net-zero emissions by 2050 may</w:t>
      </w:r>
      <w:r>
        <w:t xml:space="preserve"> </w:t>
      </w:r>
      <w:r w:rsidRPr="00B1572C">
        <w:t xml:space="preserve">be more appropriate. </w:t>
      </w:r>
      <w:r w:rsidR="0055723B">
        <w:t xml:space="preserve">The Commission expects companies to </w:t>
      </w:r>
      <w:r w:rsidR="00951DFF">
        <w:t xml:space="preserve">demonstrate early GHG reductions and </w:t>
      </w:r>
      <w:r w:rsidR="0055723B">
        <w:t xml:space="preserve">provide periodic project milestones that demonstrate GHG reductions towards net-zero. </w:t>
      </w:r>
    </w:p>
    <w:p w14:paraId="2C0F3508" w14:textId="2ABAB2F7" w:rsidR="00A40C31" w:rsidRPr="00C93BBC" w:rsidRDefault="00A40C31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A40C31">
        <w:rPr>
          <w:i/>
          <w:iCs/>
          <w:sz w:val="22"/>
          <w:szCs w:val="22"/>
        </w:rPr>
        <w:t xml:space="preserve">Impact of </w:t>
      </w:r>
      <w:r w:rsidR="00C93BBC">
        <w:rPr>
          <w:i/>
          <w:iCs/>
          <w:sz w:val="22"/>
          <w:szCs w:val="22"/>
        </w:rPr>
        <w:t xml:space="preserve">a </w:t>
      </w:r>
      <w:r w:rsidRPr="00A40C31">
        <w:rPr>
          <w:i/>
          <w:iCs/>
          <w:sz w:val="22"/>
          <w:szCs w:val="22"/>
        </w:rPr>
        <w:t xml:space="preserve">project on Canada’s efforts to reduce GHG emissions </w:t>
      </w:r>
    </w:p>
    <w:p w14:paraId="022578F6" w14:textId="16471320" w:rsidR="007732AC" w:rsidRDefault="007E726D" w:rsidP="00A96124">
      <w:pPr>
        <w:spacing w:after="100" w:afterAutospacing="1" w:line="240" w:lineRule="auto"/>
        <w:rPr>
          <w:rFonts w:eastAsia="Times New Roman"/>
          <w:color w:val="000000"/>
        </w:rPr>
      </w:pPr>
      <w:r w:rsidRPr="00BB6DAA">
        <w:rPr>
          <w:iCs/>
        </w:rPr>
        <w:t>In assessing the extent of emissions,</w:t>
      </w:r>
      <w:r>
        <w:rPr>
          <w:iCs/>
        </w:rPr>
        <w:t xml:space="preserve"> the Commission considers </w:t>
      </w:r>
      <w:r w:rsidRPr="00BB6DAA">
        <w:rPr>
          <w:iCs/>
        </w:rPr>
        <w:t>how the project’s predicted GHG emissions impact Canada’s GHG reduction targets</w:t>
      </w:r>
      <w:r>
        <w:rPr>
          <w:iCs/>
        </w:rPr>
        <w:t>.</w:t>
      </w:r>
      <w:r w:rsidRPr="007E726D">
        <w:rPr>
          <w:iCs/>
        </w:rPr>
        <w:t xml:space="preserve"> </w:t>
      </w:r>
      <w:r>
        <w:rPr>
          <w:iCs/>
        </w:rPr>
        <w:t xml:space="preserve">Applicants re expected to provide a discussion of </w:t>
      </w:r>
      <w:r w:rsidRPr="00BB6DAA">
        <w:rPr>
          <w:iCs/>
        </w:rPr>
        <w:t xml:space="preserve">laws, regulations, and policies at relevant regional, provincial, federal, and international levels. Examples might include targets, carbon pricing, mandatory </w:t>
      </w:r>
      <w:proofErr w:type="gramStart"/>
      <w:r w:rsidRPr="00BB6DAA">
        <w:rPr>
          <w:iCs/>
        </w:rPr>
        <w:t>reductions</w:t>
      </w:r>
      <w:proofErr w:type="gramEnd"/>
      <w:r w:rsidRPr="00BB6DAA">
        <w:rPr>
          <w:iCs/>
        </w:rPr>
        <w:t xml:space="preserve"> or offsets, reporting programs, and evolving guidance on best-in-class GHG emissions performance by oil and gas projects. </w:t>
      </w:r>
      <w:r w:rsidR="007732AC" w:rsidRPr="00B1572C">
        <w:rPr>
          <w:rFonts w:eastAsia="Times New Roman"/>
          <w:color w:val="000000"/>
        </w:rPr>
        <w:t xml:space="preserve">The Commission </w:t>
      </w:r>
      <w:r>
        <w:rPr>
          <w:rFonts w:eastAsia="Times New Roman"/>
          <w:color w:val="000000"/>
        </w:rPr>
        <w:t xml:space="preserve">also </w:t>
      </w:r>
      <w:r w:rsidR="007732AC" w:rsidRPr="00B1572C">
        <w:rPr>
          <w:rFonts w:eastAsia="Times New Roman"/>
          <w:color w:val="000000"/>
        </w:rPr>
        <w:t xml:space="preserve">recognizes that displacing high emission intensity projects with lower emission intensity projects or facilitating GHG removals </w:t>
      </w:r>
      <w:r w:rsidR="007732AC">
        <w:rPr>
          <w:rFonts w:eastAsia="Times New Roman"/>
          <w:color w:val="000000"/>
        </w:rPr>
        <w:t xml:space="preserve">can contribute </w:t>
      </w:r>
      <w:r w:rsidR="007732AC" w:rsidRPr="00B1572C">
        <w:rPr>
          <w:rFonts w:eastAsia="Times New Roman"/>
          <w:color w:val="000000"/>
        </w:rPr>
        <w:t>to Canada’s climate change commitments</w:t>
      </w:r>
      <w:proofErr w:type="gramStart"/>
      <w:r w:rsidR="007732AC" w:rsidRPr="00B1572C">
        <w:rPr>
          <w:rFonts w:eastAsia="Times New Roman"/>
          <w:color w:val="000000"/>
        </w:rPr>
        <w:t xml:space="preserve">.  </w:t>
      </w:r>
      <w:proofErr w:type="gramEnd"/>
    </w:p>
    <w:p w14:paraId="5E724DBE" w14:textId="6D9C064B" w:rsidR="00A40C31" w:rsidRDefault="00A40C31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A40C31">
        <w:rPr>
          <w:i/>
          <w:iCs/>
          <w:sz w:val="22"/>
          <w:szCs w:val="22"/>
        </w:rPr>
        <w:t>Climate change resilience</w:t>
      </w:r>
    </w:p>
    <w:p w14:paraId="5D786227" w14:textId="7BEC63A5" w:rsidR="007732AC" w:rsidRPr="0055723B" w:rsidRDefault="007732AC" w:rsidP="0055723B">
      <w:pPr>
        <w:spacing w:after="100" w:afterAutospacing="1" w:line="240" w:lineRule="auto"/>
        <w:rPr>
          <w:color w:val="202225"/>
        </w:rPr>
      </w:pPr>
      <w:r w:rsidRPr="0055723B">
        <w:rPr>
          <w:color w:val="202225"/>
        </w:rPr>
        <w:t xml:space="preserve">Applicants </w:t>
      </w:r>
      <w:proofErr w:type="gramStart"/>
      <w:r w:rsidRPr="0055723B">
        <w:rPr>
          <w:color w:val="202225"/>
        </w:rPr>
        <w:t>are expected</w:t>
      </w:r>
      <w:proofErr w:type="gramEnd"/>
      <w:r w:rsidRPr="0055723B">
        <w:rPr>
          <w:color w:val="202225"/>
        </w:rPr>
        <w:t xml:space="preserve"> to undertake an assessment of the resilience of the project to climate change impacts. </w:t>
      </w:r>
      <w:r w:rsidR="0055723B" w:rsidRPr="0055723B">
        <w:rPr>
          <w:color w:val="202225"/>
        </w:rPr>
        <w:t>This assessment should</w:t>
      </w:r>
      <w:r w:rsidR="0055723B">
        <w:rPr>
          <w:color w:val="202225"/>
        </w:rPr>
        <w:t xml:space="preserve"> include </w:t>
      </w:r>
      <w:r w:rsidR="0055723B" w:rsidRPr="0055723B">
        <w:rPr>
          <w:color w:val="202225"/>
        </w:rPr>
        <w:t xml:space="preserve">methods used to identify, </w:t>
      </w:r>
      <w:proofErr w:type="gramStart"/>
      <w:r w:rsidR="0055723B" w:rsidRPr="0055723B">
        <w:rPr>
          <w:color w:val="202225"/>
        </w:rPr>
        <w:t>evaluate</w:t>
      </w:r>
      <w:proofErr w:type="gramEnd"/>
      <w:r w:rsidR="0055723B" w:rsidRPr="0055723B">
        <w:rPr>
          <w:color w:val="202225"/>
        </w:rPr>
        <w:t xml:space="preserve"> and manage the climate risks that could affect the project itself</w:t>
      </w:r>
      <w:r w:rsidR="0055723B">
        <w:rPr>
          <w:color w:val="202225"/>
        </w:rPr>
        <w:t xml:space="preserve">, </w:t>
      </w:r>
      <w:r w:rsidR="0055723B" w:rsidRPr="0055723B">
        <w:rPr>
          <w:color w:val="202225"/>
        </w:rPr>
        <w:t>and</w:t>
      </w:r>
      <w:r w:rsidR="0055723B">
        <w:rPr>
          <w:color w:val="202225"/>
        </w:rPr>
        <w:t xml:space="preserve"> </w:t>
      </w:r>
      <w:r w:rsidR="0055723B" w:rsidRPr="0055723B">
        <w:rPr>
          <w:color w:val="202225"/>
        </w:rPr>
        <w:t>the project’s vulnerabilities to climate change, for example impacts of extreme weather events on project infrastructure</w:t>
      </w:r>
      <w:r w:rsidR="0055723B">
        <w:rPr>
          <w:color w:val="202225"/>
        </w:rPr>
        <w:t xml:space="preserve">. </w:t>
      </w:r>
      <w:r w:rsidRPr="0055723B">
        <w:rPr>
          <w:color w:val="202225"/>
        </w:rPr>
        <w:t xml:space="preserve">The scope and scale of an assessment of a project’s climate related-risks and development of a risk treatment plan should </w:t>
      </w:r>
      <w:proofErr w:type="gramStart"/>
      <w:r w:rsidRPr="0055723B">
        <w:rPr>
          <w:color w:val="202225"/>
        </w:rPr>
        <w:t>be tailored</w:t>
      </w:r>
      <w:proofErr w:type="gramEnd"/>
      <w:r w:rsidRPr="0055723B">
        <w:rPr>
          <w:color w:val="202225"/>
        </w:rPr>
        <w:t xml:space="preserve"> to the individual project, depending on the potential vulnerabilities and complexity of interactions. </w:t>
      </w:r>
    </w:p>
    <w:p w14:paraId="5853593D" w14:textId="453F12D9" w:rsidR="00A40C31" w:rsidRPr="00C93BBC" w:rsidRDefault="007732AC" w:rsidP="00A40C31">
      <w:pPr>
        <w:pStyle w:val="CommentText"/>
        <w:spacing w:after="100" w:afterAutospacing="1"/>
        <w:rPr>
          <w:i/>
          <w:iCs/>
          <w:sz w:val="22"/>
          <w:szCs w:val="22"/>
        </w:rPr>
      </w:pPr>
      <w:r w:rsidRPr="00C93BBC">
        <w:rPr>
          <w:i/>
          <w:iCs/>
          <w:sz w:val="22"/>
          <w:szCs w:val="22"/>
        </w:rPr>
        <w:t>U</w:t>
      </w:r>
      <w:r w:rsidR="00A40C31" w:rsidRPr="00C93BBC">
        <w:rPr>
          <w:i/>
          <w:iCs/>
          <w:sz w:val="22"/>
          <w:szCs w:val="22"/>
        </w:rPr>
        <w:t>pstream emission</w:t>
      </w:r>
      <w:r w:rsidRPr="00C93BBC">
        <w:rPr>
          <w:i/>
          <w:iCs/>
          <w:sz w:val="22"/>
          <w:szCs w:val="22"/>
        </w:rPr>
        <w:t>s</w:t>
      </w:r>
      <w:r w:rsidR="00A40C31" w:rsidRPr="00C93BBC">
        <w:rPr>
          <w:i/>
          <w:iCs/>
          <w:sz w:val="22"/>
          <w:szCs w:val="22"/>
        </w:rPr>
        <w:t xml:space="preserve"> </w:t>
      </w:r>
    </w:p>
    <w:p w14:paraId="2AE8A895" w14:textId="717EF687" w:rsidR="007732AC" w:rsidRDefault="007732AC" w:rsidP="007732AC">
      <w:pPr>
        <w:spacing w:after="100" w:afterAutospacing="1" w:line="240" w:lineRule="auto"/>
      </w:pPr>
      <w:r w:rsidRPr="00CA4CA1">
        <w:t>The Filing Manual</w:t>
      </w:r>
      <w:r w:rsidR="007F0D3A">
        <w:t>s</w:t>
      </w:r>
      <w:r w:rsidRPr="00CA4CA1">
        <w:t xml:space="preserve"> set out when </w:t>
      </w:r>
      <w:r>
        <w:t>applicants</w:t>
      </w:r>
      <w:r w:rsidRPr="00CA4CA1">
        <w:t xml:space="preserve"> are required to provide an estimate of upstream emissions and the extent to which those emissions would be incremental </w:t>
      </w:r>
      <w:proofErr w:type="gramStart"/>
      <w:r w:rsidRPr="00CA4CA1">
        <w:t>as a result of</w:t>
      </w:r>
      <w:proofErr w:type="gramEnd"/>
      <w:r w:rsidRPr="00CA4CA1">
        <w:t xml:space="preserve"> the project. </w:t>
      </w:r>
      <w:r w:rsidR="009B0028" w:rsidRPr="00CA4CA1">
        <w:t xml:space="preserve">The SACC provides guidance on the thresholds for consideration of upstream emissions, and these thresholds </w:t>
      </w:r>
      <w:proofErr w:type="gramStart"/>
      <w:r w:rsidR="009B0028" w:rsidRPr="00CA4CA1">
        <w:t xml:space="preserve">are </w:t>
      </w:r>
      <w:r w:rsidR="009B0028" w:rsidRPr="00CA4CA1">
        <w:lastRenderedPageBreak/>
        <w:t>applied</w:t>
      </w:r>
      <w:proofErr w:type="gramEnd"/>
      <w:r w:rsidR="009B0028" w:rsidRPr="00CA4CA1">
        <w:t xml:space="preserve"> in the context of CER-regulated projects. </w:t>
      </w:r>
      <w:r w:rsidR="009B0028" w:rsidRPr="00B1572C">
        <w:t>Upstream emission assessments may also be a key element in considering the overall cumulative effects of any proposed project. </w:t>
      </w:r>
      <w:r w:rsidR="00DD3AED">
        <w:t xml:space="preserve">The CER does not assess downstream emissions because they are </w:t>
      </w:r>
      <w:proofErr w:type="gramStart"/>
      <w:r w:rsidR="00DD3AED">
        <w:t>generally beyond</w:t>
      </w:r>
      <w:proofErr w:type="gramEnd"/>
      <w:r w:rsidR="00DD3AED">
        <w:t xml:space="preserve"> the </w:t>
      </w:r>
      <w:r w:rsidR="008A4C97">
        <w:t>applicant’s</w:t>
      </w:r>
      <w:r w:rsidR="00DD3AED">
        <w:t xml:space="preserve"> care and control and difficult to quantify. </w:t>
      </w:r>
    </w:p>
    <w:p w14:paraId="38B5ECF9" w14:textId="11304D92" w:rsidR="00CD1B31" w:rsidRDefault="00CD1B31" w:rsidP="007732AC">
      <w:pPr>
        <w:spacing w:after="100" w:afterAutospacing="1" w:line="240" w:lineRule="auto"/>
      </w:pPr>
      <w:r w:rsidRPr="00CD1B31">
        <w:rPr>
          <w:i/>
          <w:iCs/>
        </w:rPr>
        <w:t>Economic considerations</w:t>
      </w:r>
    </w:p>
    <w:p w14:paraId="1F2BD397" w14:textId="1A755CF4" w:rsidR="008A4C97" w:rsidRPr="00B1572C" w:rsidRDefault="008A4C97" w:rsidP="00B139B7">
      <w:pPr>
        <w:spacing w:after="100" w:afterAutospacing="1" w:line="240" w:lineRule="auto"/>
      </w:pPr>
      <w:r w:rsidRPr="00B1572C">
        <w:t xml:space="preserve">Given the rapidly evolving </w:t>
      </w:r>
      <w:r w:rsidR="009D3230">
        <w:t>nature</w:t>
      </w:r>
      <w:r w:rsidR="009D3230" w:rsidRPr="00B1572C">
        <w:t xml:space="preserve"> </w:t>
      </w:r>
      <w:r w:rsidRPr="00B1572C">
        <w:t xml:space="preserve">of climate change policy within Canada and internationally, </w:t>
      </w:r>
      <w:r>
        <w:t>applicants</w:t>
      </w:r>
      <w:r w:rsidRPr="00B1572C">
        <w:t xml:space="preserve"> </w:t>
      </w:r>
      <w:proofErr w:type="gramStart"/>
      <w:r w:rsidRPr="00B1572C">
        <w:t>are encouraged</w:t>
      </w:r>
      <w:proofErr w:type="gramEnd"/>
      <w:r w:rsidRPr="00B1572C">
        <w:t xml:space="preserve"> to plan for how further changes to laws, regulations</w:t>
      </w:r>
      <w:r>
        <w:t>,</w:t>
      </w:r>
      <w:r w:rsidRPr="00B1572C">
        <w:t xml:space="preserve"> and policies may potentially impact the economic feasibility of a project. </w:t>
      </w:r>
      <w:r>
        <w:t xml:space="preserve">Applicants </w:t>
      </w:r>
      <w:proofErr w:type="gramStart"/>
      <w:r>
        <w:t>are expected</w:t>
      </w:r>
      <w:proofErr w:type="gramEnd"/>
      <w:r>
        <w:t xml:space="preserve"> to consider potential </w:t>
      </w:r>
      <w:r w:rsidRPr="00191C03">
        <w:t xml:space="preserve">implications of these laws, regulations, and policies </w:t>
      </w:r>
      <w:r w:rsidR="00C62EF6">
        <w:t xml:space="preserve">on the economic feasibility of the project, and how these </w:t>
      </w:r>
      <w:r w:rsidRPr="00B1572C">
        <w:t xml:space="preserve">could </w:t>
      </w:r>
      <w:r w:rsidR="00C62EF6">
        <w:t>be mitigated.</w:t>
      </w:r>
      <w:r w:rsidR="00CE716D">
        <w:t xml:space="preserve"> </w:t>
      </w:r>
      <w:r w:rsidR="00CE716D" w:rsidRPr="00B1572C">
        <w:t xml:space="preserve">Potential risks of changes to the regulatory environment that could require adaptive management by the </w:t>
      </w:r>
      <w:r w:rsidR="00CE716D">
        <w:t>applicant</w:t>
      </w:r>
      <w:r w:rsidR="00CE716D" w:rsidRPr="00B1572C">
        <w:t xml:space="preserve"> could include a project’s available supply, market demand, utilization, costs, and financing. </w:t>
      </w:r>
    </w:p>
    <w:p w14:paraId="249680EB" w14:textId="70F88DDB" w:rsidR="00D72442" w:rsidRPr="006F4798" w:rsidRDefault="006F4798" w:rsidP="006F47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Decision-making and </w:t>
      </w:r>
      <w:r w:rsidR="00D72442" w:rsidRPr="006F4798">
        <w:rPr>
          <w:b/>
          <w:bCs/>
        </w:rPr>
        <w:t>Commission’s conditions</w:t>
      </w:r>
    </w:p>
    <w:p w14:paraId="45DD0EAA" w14:textId="724CDC14" w:rsidR="00D72442" w:rsidRPr="00B1572C" w:rsidRDefault="006F4798" w:rsidP="00B139B7">
      <w:pPr>
        <w:spacing w:after="100" w:afterAutospacing="1" w:line="240" w:lineRule="auto"/>
      </w:pPr>
      <w:bookmarkStart w:id="2" w:name="_Hlk122080069"/>
      <w:r w:rsidRPr="00F12D52">
        <w:t>The information contained in the application, and any additional information provided through the adjudicative process, inform</w:t>
      </w:r>
      <w:r w:rsidR="00E40995">
        <w:t>s</w:t>
      </w:r>
      <w:r w:rsidRPr="00F12D52">
        <w:t xml:space="preserve"> the Commission’s assessment of the GHG emissions and climate change factor.</w:t>
      </w:r>
      <w:r>
        <w:t xml:space="preserve"> </w:t>
      </w:r>
      <w:bookmarkEnd w:id="2"/>
      <w:r w:rsidR="00CE716D">
        <w:t>The</w:t>
      </w:r>
      <w:r w:rsidR="00D72442" w:rsidRPr="00B1572C">
        <w:t xml:space="preserve"> Commission may impose </w:t>
      </w:r>
      <w:r w:rsidR="009B0028">
        <w:t xml:space="preserve">legally binding </w:t>
      </w:r>
      <w:r w:rsidR="00D72442" w:rsidRPr="00B1572C">
        <w:t xml:space="preserve">conditions </w:t>
      </w:r>
      <w:r w:rsidR="009B0028">
        <w:t xml:space="preserve">as part of a project’s </w:t>
      </w:r>
      <w:r w:rsidR="0023525C">
        <w:t>authorization</w:t>
      </w:r>
      <w:r w:rsidR="009B0028">
        <w:t xml:space="preserve"> </w:t>
      </w:r>
      <w:r w:rsidR="00D72442">
        <w:t>which could</w:t>
      </w:r>
      <w:r w:rsidR="00D72442" w:rsidRPr="00B1572C">
        <w:t xml:space="preserve"> vary based on the scope, scale, and nature of projects under review. Conditions may refer to </w:t>
      </w:r>
      <w:r w:rsidR="00D72442">
        <w:t xml:space="preserve">additional </w:t>
      </w:r>
      <w:r w:rsidR="00D72442" w:rsidRPr="00B1572C">
        <w:t>mitigation measures and other requirements to avoid or reduce a project’s GHG emissions</w:t>
      </w:r>
      <w:r w:rsidR="0072142B">
        <w:t>.</w:t>
      </w:r>
      <w:r w:rsidR="004D1A97">
        <w:t xml:space="preserve"> </w:t>
      </w:r>
      <w:r w:rsidR="00D72442" w:rsidRPr="00B1572C">
        <w:t xml:space="preserve">Conditions may also include a reporting requirement in which the </w:t>
      </w:r>
      <w:r w:rsidR="00D72442">
        <w:t>applicant</w:t>
      </w:r>
      <w:r w:rsidR="00D72442" w:rsidRPr="00B1572C">
        <w:t xml:space="preserve"> would </w:t>
      </w:r>
      <w:proofErr w:type="gramStart"/>
      <w:r w:rsidR="00D72442" w:rsidRPr="00B1572C">
        <w:t>be expected</w:t>
      </w:r>
      <w:proofErr w:type="gramEnd"/>
      <w:r w:rsidR="00D72442" w:rsidRPr="00B1572C">
        <w:t xml:space="preserve"> to demonstrate progress toward implementing mitigation measures </w:t>
      </w:r>
      <w:r w:rsidR="00CE716D">
        <w:t xml:space="preserve">and/or a net zero plan. </w:t>
      </w:r>
    </w:p>
    <w:p w14:paraId="4F07897B" w14:textId="54DA98AE" w:rsidR="007732AC" w:rsidRPr="000C1FBB" w:rsidRDefault="00635F14" w:rsidP="007732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Challenges and Opportunities </w:t>
      </w:r>
    </w:p>
    <w:p w14:paraId="030DD8FC" w14:textId="77777777" w:rsidR="00B45362" w:rsidRPr="00626E50" w:rsidRDefault="00B45362" w:rsidP="00C00250">
      <w:pPr>
        <w:kinsoku w:val="0"/>
        <w:overflowPunct w:val="0"/>
        <w:spacing w:after="0" w:line="240" w:lineRule="auto"/>
        <w:textAlignment w:val="baseline"/>
      </w:pPr>
      <w:r>
        <w:t>As a regulator, the CER must maintain transparency and predictability while remaining adaptable to an evolving climate change policy landscape. Clear filing guidance p</w:t>
      </w:r>
      <w:r w:rsidRPr="00626E50">
        <w:t>rovid</w:t>
      </w:r>
      <w:r>
        <w:t>es</w:t>
      </w:r>
      <w:r w:rsidRPr="00626E50">
        <w:t xml:space="preserve"> certainty and transparency to the public, Indigenous </w:t>
      </w:r>
      <w:r>
        <w:t xml:space="preserve">Peoples </w:t>
      </w:r>
      <w:r w:rsidRPr="00626E50">
        <w:t xml:space="preserve">and </w:t>
      </w:r>
      <w:r>
        <w:t xml:space="preserve">applicants </w:t>
      </w:r>
      <w:r w:rsidRPr="00626E50">
        <w:t>around key elements considered for the GHG and Climate Change assessments</w:t>
      </w:r>
      <w:r>
        <w:t>.</w:t>
      </w:r>
    </w:p>
    <w:p w14:paraId="6BFB366D" w14:textId="4549DB3E" w:rsidR="00B45362" w:rsidRPr="00B1572C" w:rsidRDefault="00B45362" w:rsidP="00C00250">
      <w:pPr>
        <w:spacing w:after="0" w:line="240" w:lineRule="auto"/>
      </w:pPr>
    </w:p>
    <w:p w14:paraId="7767293F" w14:textId="6C8F6E94" w:rsidR="00B45362" w:rsidRDefault="00B45362" w:rsidP="00C00250">
      <w:pPr>
        <w:kinsoku w:val="0"/>
        <w:overflowPunct w:val="0"/>
        <w:spacing w:after="0" w:line="240" w:lineRule="auto"/>
        <w:textAlignment w:val="baseline"/>
      </w:pPr>
      <w:r>
        <w:t>In Canada, regulation of pipeline infrastructure can be federal, provincial or both. For example, CER-regulated companies report GHG emissions to other federal and provincial regulators</w:t>
      </w:r>
      <w:proofErr w:type="gramStart"/>
      <w:r>
        <w:t xml:space="preserve">.  </w:t>
      </w:r>
      <w:proofErr w:type="gramEnd"/>
      <w:r>
        <w:t xml:space="preserve">Multi-agency collaboration is often required to verify companies </w:t>
      </w:r>
      <w:proofErr w:type="gramStart"/>
      <w:r>
        <w:t>are in compliance with</w:t>
      </w:r>
      <w:proofErr w:type="gramEnd"/>
      <w:r>
        <w:t xml:space="preserve"> GHG related requirements.</w:t>
      </w:r>
    </w:p>
    <w:p w14:paraId="1C370E1B" w14:textId="77777777" w:rsidR="00B45362" w:rsidRDefault="00B45362" w:rsidP="00B45362">
      <w:pPr>
        <w:kinsoku w:val="0"/>
        <w:overflowPunct w:val="0"/>
        <w:spacing w:after="0" w:line="240" w:lineRule="auto"/>
        <w:textAlignment w:val="baseline"/>
      </w:pPr>
    </w:p>
    <w:p w14:paraId="34E21879" w14:textId="67281A57" w:rsidR="00CC2815" w:rsidRDefault="00B45362" w:rsidP="00C00250">
      <w:pPr>
        <w:kinsoku w:val="0"/>
        <w:overflowPunct w:val="0"/>
        <w:spacing w:after="0" w:line="240" w:lineRule="auto"/>
        <w:textAlignment w:val="baseline"/>
      </w:pPr>
      <w:r>
        <w:t>While applicants may rely on emerging clean technologies (</w:t>
      </w:r>
      <w:r w:rsidRPr="00626E50">
        <w:t>hydrogen, renewables, negative emissions technologies</w:t>
      </w:r>
      <w:r>
        <w:t xml:space="preserve">) to achieve net-zero by 2050, uncertainties around the availabilities and effectiveness of these technologies may render estimates of future emissions to be less accurate. </w:t>
      </w:r>
      <w:r w:rsidR="00CC2815">
        <w:t>However, as the CER assesses and approves projects that include emerging technologies</w:t>
      </w:r>
      <w:r w:rsidR="00CC2815" w:rsidRPr="00626E50">
        <w:t xml:space="preserve"> (</w:t>
      </w:r>
      <w:r w:rsidR="00CC2815">
        <w:t>such as</w:t>
      </w:r>
      <w:r w:rsidR="00CC2815" w:rsidRPr="00626E50">
        <w:t xml:space="preserve"> low-carbon or renewable fuel, leak detection and repair, electrification, carbon capture and storage </w:t>
      </w:r>
      <w:proofErr w:type="gramStart"/>
      <w:r w:rsidR="00CC2815" w:rsidRPr="00626E50">
        <w:t>etc.</w:t>
      </w:r>
      <w:proofErr w:type="gramEnd"/>
      <w:r w:rsidR="00CC2815" w:rsidRPr="00626E50">
        <w:t>)</w:t>
      </w:r>
      <w:r w:rsidR="00CC2815">
        <w:t xml:space="preserve">, the business case for future projects is improved as the technology is </w:t>
      </w:r>
      <w:r w:rsidR="00C77FAF">
        <w:t>proven,</w:t>
      </w:r>
      <w:r w:rsidR="00CC2815">
        <w:t xml:space="preserve"> driving further innovation.</w:t>
      </w:r>
      <w:r w:rsidR="00CC2815" w:rsidRPr="00626E50">
        <w:t xml:space="preserve"> </w:t>
      </w:r>
    </w:p>
    <w:p w14:paraId="65351D39" w14:textId="60D19E71" w:rsidR="00B45362" w:rsidRDefault="00B45362" w:rsidP="00B45362">
      <w:pPr>
        <w:kinsoku w:val="0"/>
        <w:overflowPunct w:val="0"/>
        <w:spacing w:after="0" w:line="240" w:lineRule="auto"/>
        <w:textAlignment w:val="baseline"/>
      </w:pPr>
    </w:p>
    <w:p w14:paraId="4CCD375C" w14:textId="6258538F" w:rsidR="00CC2815" w:rsidRDefault="00CC2815" w:rsidP="00C00250">
      <w:r>
        <w:t xml:space="preserve">This filing guidance is a starting point for applicants and the Commission to consider emissions impacts of projects; and </w:t>
      </w:r>
      <w:proofErr w:type="gramStart"/>
      <w:r>
        <w:t>a number of</w:t>
      </w:r>
      <w:proofErr w:type="gramEnd"/>
      <w:r>
        <w:t xml:space="preserve"> challenges remain. </w:t>
      </w:r>
      <w:r w:rsidR="00104B42">
        <w:t xml:space="preserve">A </w:t>
      </w:r>
      <w:r w:rsidR="00104B42" w:rsidRPr="00626E50">
        <w:t xml:space="preserve">corporate net-zero plan </w:t>
      </w:r>
      <w:r>
        <w:t xml:space="preserve">may not account for project-specific </w:t>
      </w:r>
      <w:proofErr w:type="gramStart"/>
      <w:r>
        <w:t>emissions, and</w:t>
      </w:r>
      <w:proofErr w:type="gramEnd"/>
      <w:r>
        <w:t xml:space="preserve"> may instead describe </w:t>
      </w:r>
      <w:r w:rsidR="00104B42" w:rsidRPr="00626E50">
        <w:t>decisions and investments required to achieve</w:t>
      </w:r>
      <w:r w:rsidR="00104B42">
        <w:t xml:space="preserve"> </w:t>
      </w:r>
      <w:r w:rsidR="00104B42" w:rsidRPr="00626E50">
        <w:t xml:space="preserve">net-zero by 2050. </w:t>
      </w:r>
      <w:r>
        <w:t xml:space="preserve">Existing offset mechanisms may only be available to offset operational emissions, and there may not be strategies or mechanisms of offsetting direct construction emissions. </w:t>
      </w:r>
      <w:r w:rsidR="003F223F">
        <w:t>U</w:t>
      </w:r>
      <w:r>
        <w:t xml:space="preserve">nintended emissions can </w:t>
      </w:r>
      <w:r>
        <w:lastRenderedPageBreak/>
        <w:t xml:space="preserve">be a significant contributor to GHG emissions throughout the operational stage. </w:t>
      </w:r>
      <w:r w:rsidR="003F223F">
        <w:t>In the face of these, w</w:t>
      </w:r>
      <w:r>
        <w:t xml:space="preserve">e continue to evolve our guidance to companies, with the aim of </w:t>
      </w:r>
      <w:r w:rsidRPr="00626E50">
        <w:t>building and continually improving regulatory assessment and decision-making processes</w:t>
      </w:r>
      <w:r>
        <w:t>. This</w:t>
      </w:r>
      <w:r w:rsidRPr="00626E50">
        <w:t xml:space="preserve"> </w:t>
      </w:r>
      <w:r>
        <w:t>enables</w:t>
      </w:r>
      <w:r w:rsidRPr="00626E50">
        <w:t xml:space="preserve"> decisions to </w:t>
      </w:r>
      <w:proofErr w:type="gramStart"/>
      <w:r w:rsidRPr="00626E50">
        <w:t>be made</w:t>
      </w:r>
      <w:proofErr w:type="gramEnd"/>
      <w:r w:rsidRPr="00626E50">
        <w:t xml:space="preserve"> in a predictable and timely manner, which provides certainty to investors and </w:t>
      </w:r>
      <w:r w:rsidR="00C77FAF" w:rsidRPr="00626E50">
        <w:t>stakeholders</w:t>
      </w:r>
      <w:r w:rsidR="00C77FAF">
        <w:t>,</w:t>
      </w:r>
      <w:r>
        <w:t xml:space="preserve"> enabling</w:t>
      </w:r>
      <w:r w:rsidRPr="00626E50">
        <w:t xml:space="preserve"> sound projects </w:t>
      </w:r>
      <w:r>
        <w:t>with positive economic impacts</w:t>
      </w:r>
      <w:r w:rsidR="00C77FAF">
        <w:t>.</w:t>
      </w:r>
    </w:p>
    <w:p w14:paraId="25BB764C" w14:textId="77777777" w:rsidR="004B27E2" w:rsidRPr="003F223F" w:rsidRDefault="004B27E2" w:rsidP="00C00250">
      <w:pPr>
        <w:rPr>
          <w:rFonts w:cstheme="minorHAnsi"/>
        </w:rPr>
      </w:pPr>
    </w:p>
    <w:p w14:paraId="27EBC2B1" w14:textId="073037F7" w:rsidR="0008658D" w:rsidRPr="004B27E2" w:rsidRDefault="0008658D" w:rsidP="004B27E2">
      <w:pPr>
        <w:kinsoku w:val="0"/>
        <w:overflowPunct w:val="0"/>
        <w:spacing w:after="120" w:line="240" w:lineRule="auto"/>
        <w:textAlignment w:val="baseline"/>
        <w:rPr>
          <w:b/>
          <w:bCs/>
        </w:rPr>
      </w:pPr>
      <w:r w:rsidRPr="004B27E2">
        <w:rPr>
          <w:b/>
          <w:bCs/>
        </w:rPr>
        <w:t xml:space="preserve">References </w:t>
      </w:r>
    </w:p>
    <w:p w14:paraId="5B2D409E" w14:textId="77777777" w:rsidR="00B139B7" w:rsidRDefault="00B139B7" w:rsidP="00B139B7">
      <w:r>
        <w:t xml:space="preserve">Canada.ca. Canada’s climate plans and targets </w:t>
      </w:r>
      <w:hyperlink r:id="rId12" w:history="1">
        <w:r w:rsidRPr="00DB3C5D">
          <w:rPr>
            <w:rStyle w:val="Hyperlink"/>
          </w:rPr>
          <w:t>https://www.canada.ca/</w:t>
        </w:r>
        <w:r w:rsidRPr="00DB3C5D">
          <w:rPr>
            <w:rStyle w:val="Hyperlink"/>
          </w:rPr>
          <w:t>e</w:t>
        </w:r>
        <w:r w:rsidRPr="00DB3C5D">
          <w:rPr>
            <w:rStyle w:val="Hyperlink"/>
          </w:rPr>
          <w:t>n/services/environment/weather/climatechange/climate-plan/climate-plan-overview.html</w:t>
        </w:r>
      </w:hyperlink>
    </w:p>
    <w:p w14:paraId="017A2758" w14:textId="5FD3CB5B" w:rsidR="00B139B7" w:rsidRDefault="00B139B7" w:rsidP="00B139B7">
      <w:r>
        <w:t xml:space="preserve">Canada.ca. Strategic Assessment of Climate Change. 2020. </w:t>
      </w:r>
      <w:hyperlink r:id="rId13" w:history="1">
        <w:r w:rsidRPr="00B139B7">
          <w:rPr>
            <w:color w:val="0000FF"/>
            <w:u w:val="single"/>
          </w:rPr>
          <w:t>Strategic Ass</w:t>
        </w:r>
        <w:r w:rsidRPr="00B139B7">
          <w:rPr>
            <w:color w:val="0000FF"/>
            <w:u w:val="single"/>
          </w:rPr>
          <w:t>e</w:t>
        </w:r>
        <w:r w:rsidRPr="00B139B7">
          <w:rPr>
            <w:color w:val="0000FF"/>
            <w:u w:val="single"/>
          </w:rPr>
          <w:t>ssment of Climate Change - Canada.ca</w:t>
        </w:r>
      </w:hyperlink>
    </w:p>
    <w:p w14:paraId="1B9E2629" w14:textId="5B920EC8" w:rsidR="00B139B7" w:rsidRDefault="0072142B" w:rsidP="0072142B">
      <w:r>
        <w:t>C</w:t>
      </w:r>
      <w:r w:rsidR="00B139B7">
        <w:t xml:space="preserve">anada Energy Regulator. 2023. Filing Manual </w:t>
      </w:r>
      <w:hyperlink r:id="rId14" w:history="1">
        <w:r w:rsidR="00B139B7" w:rsidRPr="00B139B7">
          <w:rPr>
            <w:color w:val="0000FF"/>
            <w:u w:val="single"/>
          </w:rPr>
          <w:t>CER – Filing Manu</w:t>
        </w:r>
        <w:r w:rsidR="00B139B7" w:rsidRPr="00B139B7">
          <w:rPr>
            <w:color w:val="0000FF"/>
            <w:u w:val="single"/>
          </w:rPr>
          <w:t>a</w:t>
        </w:r>
        <w:r w:rsidR="00B139B7" w:rsidRPr="00B139B7">
          <w:rPr>
            <w:color w:val="0000FF"/>
            <w:u w:val="single"/>
          </w:rPr>
          <w:t>l – Table of Contents (cer-rec.gc.ca)</w:t>
        </w:r>
      </w:hyperlink>
    </w:p>
    <w:p w14:paraId="66C57BED" w14:textId="7B2E80F4" w:rsidR="00B139B7" w:rsidRDefault="00B139B7" w:rsidP="0072142B">
      <w:r>
        <w:t xml:space="preserve">Commission of the </w:t>
      </w:r>
      <w:r w:rsidR="0072142B">
        <w:t>CER</w:t>
      </w:r>
      <w:r>
        <w:t>. NGTL</w:t>
      </w:r>
      <w:r w:rsidR="0072142B">
        <w:t xml:space="preserve"> Emerson Creek CS</w:t>
      </w:r>
      <w:r w:rsidRPr="00B139B7">
        <w:t xml:space="preserve"> </w:t>
      </w:r>
      <w:hyperlink r:id="rId15" w:history="1">
        <w:r w:rsidRPr="00B139B7">
          <w:rPr>
            <w:color w:val="0000FF"/>
            <w:u w:val="single"/>
          </w:rPr>
          <w:t>Canada</w:t>
        </w:r>
        <w:r w:rsidRPr="00B139B7">
          <w:rPr>
            <w:color w:val="0000FF"/>
            <w:u w:val="single"/>
          </w:rPr>
          <w:t xml:space="preserve"> </w:t>
        </w:r>
        <w:r w:rsidRPr="00B139B7">
          <w:rPr>
            <w:color w:val="0000FF"/>
            <w:u w:val="single"/>
          </w:rPr>
          <w:t>Energy Regulator - REGDOCS - C16958 Commission | Commission - Letter and Orders XG-014-2021 and MO-039-2021 to NOVA Gas Transmission Ltd. – Application for the Emerson Creek Compressor Station (cer-rec.gc.ca)</w:t>
        </w:r>
      </w:hyperlink>
    </w:p>
    <w:p w14:paraId="664D73F3" w14:textId="61EB6312" w:rsidR="00BE435F" w:rsidRPr="00BE435F" w:rsidRDefault="0072142B" w:rsidP="00454948">
      <w:r>
        <w:t>C</w:t>
      </w:r>
      <w:r w:rsidR="00B139B7">
        <w:t>ommission C</w:t>
      </w:r>
      <w:r>
        <w:t xml:space="preserve">ER </w:t>
      </w:r>
      <w:r w:rsidR="00B139B7">
        <w:t xml:space="preserve">Report. </w:t>
      </w:r>
      <w:r>
        <w:t xml:space="preserve">NGTL West Path </w:t>
      </w:r>
      <w:r w:rsidR="00C77FAF">
        <w:t xml:space="preserve">Delivery 2023 </w:t>
      </w:r>
      <w:hyperlink r:id="rId16" w:history="1">
        <w:r w:rsidR="00C77FAF" w:rsidRPr="00C77FAF">
          <w:rPr>
            <w:rStyle w:val="Hyperlink"/>
          </w:rPr>
          <w:t>https://apps.ce</w:t>
        </w:r>
        <w:r w:rsidR="00C77FAF" w:rsidRPr="00C77FAF">
          <w:rPr>
            <w:rStyle w:val="Hyperlink"/>
          </w:rPr>
          <w:t>r</w:t>
        </w:r>
        <w:r w:rsidR="00C77FAF" w:rsidRPr="00C77FAF">
          <w:rPr>
            <w:rStyle w:val="Hyperlink"/>
          </w:rPr>
          <w:t>-re</w:t>
        </w:r>
        <w:r w:rsidR="00C77FAF" w:rsidRPr="00C77FAF">
          <w:rPr>
            <w:rStyle w:val="Hyperlink"/>
          </w:rPr>
          <w:t>c</w:t>
        </w:r>
        <w:r w:rsidR="00C77FAF" w:rsidRPr="00C77FAF">
          <w:rPr>
            <w:rStyle w:val="Hyperlink"/>
          </w:rPr>
          <w:t>.gc.ca/REGDOCS/File/Download/4247414</w:t>
        </w:r>
      </w:hyperlink>
    </w:p>
    <w:sectPr w:rsidR="00BE435F" w:rsidRPr="00BE435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1305" w14:textId="77777777" w:rsidR="00951677" w:rsidRDefault="00951677" w:rsidP="00BE435F">
      <w:pPr>
        <w:spacing w:after="0" w:line="240" w:lineRule="auto"/>
      </w:pPr>
      <w:r>
        <w:separator/>
      </w:r>
    </w:p>
  </w:endnote>
  <w:endnote w:type="continuationSeparator" w:id="0">
    <w:p w14:paraId="15547FF2" w14:textId="77777777" w:rsidR="00951677" w:rsidRDefault="00951677" w:rsidP="00BE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35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33606" w14:textId="0E26EC35" w:rsidR="003D3BA3" w:rsidRDefault="003D3B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DDE76" w14:textId="77777777" w:rsidR="003D3BA3" w:rsidRDefault="003D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123A" w14:textId="77777777" w:rsidR="00951677" w:rsidRDefault="00951677" w:rsidP="00BE435F">
      <w:pPr>
        <w:spacing w:after="0" w:line="240" w:lineRule="auto"/>
      </w:pPr>
      <w:r>
        <w:separator/>
      </w:r>
    </w:p>
  </w:footnote>
  <w:footnote w:type="continuationSeparator" w:id="0">
    <w:p w14:paraId="7F355997" w14:textId="77777777" w:rsidR="00951677" w:rsidRDefault="00951677" w:rsidP="00BE435F">
      <w:pPr>
        <w:spacing w:after="0" w:line="240" w:lineRule="auto"/>
      </w:pPr>
      <w:r>
        <w:continuationSeparator/>
      </w:r>
    </w:p>
  </w:footnote>
  <w:footnote w:id="1">
    <w:p w14:paraId="2C9200BB" w14:textId="6826B36E" w:rsidR="00687FDA" w:rsidRDefault="00687FDA" w:rsidP="00687FDA">
      <w:pPr>
        <w:pStyle w:val="FootnoteText"/>
      </w:pPr>
      <w:r>
        <w:rPr>
          <w:rStyle w:val="FootnoteReference"/>
        </w:rPr>
        <w:footnoteRef/>
      </w:r>
      <w:r>
        <w:t xml:space="preserve"> The views, judgements, opinions, and recommendations expressed in this paper do not necessarily reflect those of the Canada Energy Regulator nor its Commission members or Board of Directors</w:t>
      </w:r>
      <w:r w:rsidR="00B061B1">
        <w:t>.</w:t>
      </w:r>
    </w:p>
    <w:p w14:paraId="784479DA" w14:textId="7832C7A5" w:rsidR="00687FDA" w:rsidRDefault="00687FD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105F"/>
    <w:multiLevelType w:val="hybridMultilevel"/>
    <w:tmpl w:val="8C96D9DA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022518"/>
    <w:multiLevelType w:val="multilevel"/>
    <w:tmpl w:val="A9C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425FF"/>
    <w:multiLevelType w:val="hybridMultilevel"/>
    <w:tmpl w:val="ADB219C2"/>
    <w:lvl w:ilvl="0" w:tplc="18B65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179D"/>
    <w:multiLevelType w:val="hybridMultilevel"/>
    <w:tmpl w:val="493E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A2F8D"/>
    <w:multiLevelType w:val="hybridMultilevel"/>
    <w:tmpl w:val="F488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20DC"/>
    <w:multiLevelType w:val="hybridMultilevel"/>
    <w:tmpl w:val="96C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1009"/>
    <w:multiLevelType w:val="hybridMultilevel"/>
    <w:tmpl w:val="B2BA1AE6"/>
    <w:lvl w:ilvl="0" w:tplc="62B2A59C">
      <w:start w:val="1"/>
      <w:numFmt w:val="bullet"/>
      <w:lvlText w:val="-"/>
      <w:lvlJc w:val="left"/>
      <w:pPr>
        <w:tabs>
          <w:tab w:val="num" w:pos="978"/>
        </w:tabs>
        <w:ind w:left="978" w:hanging="360"/>
      </w:pPr>
      <w:rPr>
        <w:rFonts w:ascii="Times New Roman" w:hAnsi="Times New Roman" w:hint="default"/>
      </w:rPr>
    </w:lvl>
    <w:lvl w:ilvl="1" w:tplc="CEFAD9CC" w:tentative="1">
      <w:start w:val="1"/>
      <w:numFmt w:val="bullet"/>
      <w:lvlText w:val="-"/>
      <w:lvlJc w:val="left"/>
      <w:pPr>
        <w:tabs>
          <w:tab w:val="num" w:pos="1698"/>
        </w:tabs>
        <w:ind w:left="1698" w:hanging="360"/>
      </w:pPr>
      <w:rPr>
        <w:rFonts w:ascii="Times New Roman" w:hAnsi="Times New Roman" w:hint="default"/>
      </w:rPr>
    </w:lvl>
    <w:lvl w:ilvl="2" w:tplc="1EA4FD06" w:tentative="1">
      <w:start w:val="1"/>
      <w:numFmt w:val="bullet"/>
      <w:lvlText w:val="-"/>
      <w:lvlJc w:val="left"/>
      <w:pPr>
        <w:tabs>
          <w:tab w:val="num" w:pos="2418"/>
        </w:tabs>
        <w:ind w:left="2418" w:hanging="360"/>
      </w:pPr>
      <w:rPr>
        <w:rFonts w:ascii="Times New Roman" w:hAnsi="Times New Roman" w:hint="default"/>
      </w:rPr>
    </w:lvl>
    <w:lvl w:ilvl="3" w:tplc="900A5D04" w:tentative="1">
      <w:start w:val="1"/>
      <w:numFmt w:val="bullet"/>
      <w:lvlText w:val="-"/>
      <w:lvlJc w:val="left"/>
      <w:pPr>
        <w:tabs>
          <w:tab w:val="num" w:pos="3138"/>
        </w:tabs>
        <w:ind w:left="3138" w:hanging="360"/>
      </w:pPr>
      <w:rPr>
        <w:rFonts w:ascii="Times New Roman" w:hAnsi="Times New Roman" w:hint="default"/>
      </w:rPr>
    </w:lvl>
    <w:lvl w:ilvl="4" w:tplc="DB74B06C" w:tentative="1">
      <w:start w:val="1"/>
      <w:numFmt w:val="bullet"/>
      <w:lvlText w:val="-"/>
      <w:lvlJc w:val="left"/>
      <w:pPr>
        <w:tabs>
          <w:tab w:val="num" w:pos="3858"/>
        </w:tabs>
        <w:ind w:left="3858" w:hanging="360"/>
      </w:pPr>
      <w:rPr>
        <w:rFonts w:ascii="Times New Roman" w:hAnsi="Times New Roman" w:hint="default"/>
      </w:rPr>
    </w:lvl>
    <w:lvl w:ilvl="5" w:tplc="9E84D472" w:tentative="1">
      <w:start w:val="1"/>
      <w:numFmt w:val="bullet"/>
      <w:lvlText w:val="-"/>
      <w:lvlJc w:val="left"/>
      <w:pPr>
        <w:tabs>
          <w:tab w:val="num" w:pos="4578"/>
        </w:tabs>
        <w:ind w:left="4578" w:hanging="360"/>
      </w:pPr>
      <w:rPr>
        <w:rFonts w:ascii="Times New Roman" w:hAnsi="Times New Roman" w:hint="default"/>
      </w:rPr>
    </w:lvl>
    <w:lvl w:ilvl="6" w:tplc="BDB43F54" w:tentative="1">
      <w:start w:val="1"/>
      <w:numFmt w:val="bullet"/>
      <w:lvlText w:val="-"/>
      <w:lvlJc w:val="left"/>
      <w:pPr>
        <w:tabs>
          <w:tab w:val="num" w:pos="5298"/>
        </w:tabs>
        <w:ind w:left="5298" w:hanging="360"/>
      </w:pPr>
      <w:rPr>
        <w:rFonts w:ascii="Times New Roman" w:hAnsi="Times New Roman" w:hint="default"/>
      </w:rPr>
    </w:lvl>
    <w:lvl w:ilvl="7" w:tplc="CB5AB20C" w:tentative="1">
      <w:start w:val="1"/>
      <w:numFmt w:val="bullet"/>
      <w:lvlText w:val="-"/>
      <w:lvlJc w:val="left"/>
      <w:pPr>
        <w:tabs>
          <w:tab w:val="num" w:pos="6018"/>
        </w:tabs>
        <w:ind w:left="6018" w:hanging="360"/>
      </w:pPr>
      <w:rPr>
        <w:rFonts w:ascii="Times New Roman" w:hAnsi="Times New Roman" w:hint="default"/>
      </w:rPr>
    </w:lvl>
    <w:lvl w:ilvl="8" w:tplc="0376447C" w:tentative="1">
      <w:start w:val="1"/>
      <w:numFmt w:val="bullet"/>
      <w:lvlText w:val="-"/>
      <w:lvlJc w:val="left"/>
      <w:pPr>
        <w:tabs>
          <w:tab w:val="num" w:pos="6738"/>
        </w:tabs>
        <w:ind w:left="6738" w:hanging="360"/>
      </w:pPr>
      <w:rPr>
        <w:rFonts w:ascii="Times New Roman" w:hAnsi="Times New Roman" w:hint="default"/>
      </w:rPr>
    </w:lvl>
  </w:abstractNum>
  <w:abstractNum w:abstractNumId="7" w15:restartNumberingAfterBreak="0">
    <w:nsid w:val="45923027"/>
    <w:multiLevelType w:val="hybridMultilevel"/>
    <w:tmpl w:val="235CDC00"/>
    <w:lvl w:ilvl="0" w:tplc="67A46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05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8C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C1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85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27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A3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047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863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BA035A8"/>
    <w:multiLevelType w:val="hybridMultilevel"/>
    <w:tmpl w:val="E67A5B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B268A"/>
    <w:multiLevelType w:val="hybridMultilevel"/>
    <w:tmpl w:val="13F03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E2614"/>
    <w:multiLevelType w:val="hybridMultilevel"/>
    <w:tmpl w:val="1C1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66821">
    <w:abstractNumId w:val="8"/>
  </w:num>
  <w:num w:numId="2" w16cid:durableId="1179388197">
    <w:abstractNumId w:val="2"/>
  </w:num>
  <w:num w:numId="3" w16cid:durableId="272249752">
    <w:abstractNumId w:val="10"/>
  </w:num>
  <w:num w:numId="4" w16cid:durableId="121777559">
    <w:abstractNumId w:val="4"/>
  </w:num>
  <w:num w:numId="5" w16cid:durableId="1939480625">
    <w:abstractNumId w:val="5"/>
  </w:num>
  <w:num w:numId="6" w16cid:durableId="522014437">
    <w:abstractNumId w:val="7"/>
  </w:num>
  <w:num w:numId="7" w16cid:durableId="1885866189">
    <w:abstractNumId w:val="6"/>
  </w:num>
  <w:num w:numId="8" w16cid:durableId="1956016138">
    <w:abstractNumId w:val="1"/>
  </w:num>
  <w:num w:numId="9" w16cid:durableId="129444377">
    <w:abstractNumId w:val="1"/>
  </w:num>
  <w:num w:numId="10" w16cid:durableId="1638218163">
    <w:abstractNumId w:val="0"/>
  </w:num>
  <w:num w:numId="11" w16cid:durableId="26375183">
    <w:abstractNumId w:val="3"/>
  </w:num>
  <w:num w:numId="12" w16cid:durableId="1062825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5F"/>
    <w:rsid w:val="00005C1E"/>
    <w:rsid w:val="00035251"/>
    <w:rsid w:val="00064E62"/>
    <w:rsid w:val="0008658D"/>
    <w:rsid w:val="000A4B1F"/>
    <w:rsid w:val="000B5378"/>
    <w:rsid w:val="000C1FBB"/>
    <w:rsid w:val="000F6E97"/>
    <w:rsid w:val="000F6F2E"/>
    <w:rsid w:val="00104B42"/>
    <w:rsid w:val="0011650C"/>
    <w:rsid w:val="00116F2A"/>
    <w:rsid w:val="00140BF5"/>
    <w:rsid w:val="00156D55"/>
    <w:rsid w:val="00160E40"/>
    <w:rsid w:val="00203AF3"/>
    <w:rsid w:val="0023525C"/>
    <w:rsid w:val="0024193D"/>
    <w:rsid w:val="0024353D"/>
    <w:rsid w:val="00245E5C"/>
    <w:rsid w:val="00264F6F"/>
    <w:rsid w:val="0028023F"/>
    <w:rsid w:val="002A237B"/>
    <w:rsid w:val="002D473B"/>
    <w:rsid w:val="002D5333"/>
    <w:rsid w:val="0033352F"/>
    <w:rsid w:val="003343C3"/>
    <w:rsid w:val="003367A8"/>
    <w:rsid w:val="003442F5"/>
    <w:rsid w:val="003A13E0"/>
    <w:rsid w:val="003A2C7A"/>
    <w:rsid w:val="003D3BA3"/>
    <w:rsid w:val="003F223F"/>
    <w:rsid w:val="004128D7"/>
    <w:rsid w:val="004337B6"/>
    <w:rsid w:val="00454948"/>
    <w:rsid w:val="00491548"/>
    <w:rsid w:val="00492C26"/>
    <w:rsid w:val="004A4B29"/>
    <w:rsid w:val="004B27E2"/>
    <w:rsid w:val="004C18E8"/>
    <w:rsid w:val="004D1A97"/>
    <w:rsid w:val="004F108A"/>
    <w:rsid w:val="004F5859"/>
    <w:rsid w:val="00531767"/>
    <w:rsid w:val="0055723B"/>
    <w:rsid w:val="0056621F"/>
    <w:rsid w:val="00582573"/>
    <w:rsid w:val="005851E1"/>
    <w:rsid w:val="00593556"/>
    <w:rsid w:val="005D11B6"/>
    <w:rsid w:val="00626BEB"/>
    <w:rsid w:val="00626E50"/>
    <w:rsid w:val="006357BD"/>
    <w:rsid w:val="00635F14"/>
    <w:rsid w:val="00665FEF"/>
    <w:rsid w:val="00687FDA"/>
    <w:rsid w:val="006F4798"/>
    <w:rsid w:val="0072142B"/>
    <w:rsid w:val="0073368B"/>
    <w:rsid w:val="007412A1"/>
    <w:rsid w:val="007732AC"/>
    <w:rsid w:val="007841F9"/>
    <w:rsid w:val="00785F07"/>
    <w:rsid w:val="00791D86"/>
    <w:rsid w:val="007C4F00"/>
    <w:rsid w:val="007E1BFB"/>
    <w:rsid w:val="007E726D"/>
    <w:rsid w:val="007F0D3A"/>
    <w:rsid w:val="008053BE"/>
    <w:rsid w:val="00816330"/>
    <w:rsid w:val="0088041F"/>
    <w:rsid w:val="008A4C97"/>
    <w:rsid w:val="008C7FF0"/>
    <w:rsid w:val="008E2859"/>
    <w:rsid w:val="00925441"/>
    <w:rsid w:val="00934F1A"/>
    <w:rsid w:val="00951677"/>
    <w:rsid w:val="00951DFF"/>
    <w:rsid w:val="00966613"/>
    <w:rsid w:val="009B0028"/>
    <w:rsid w:val="009D3230"/>
    <w:rsid w:val="009E4B2B"/>
    <w:rsid w:val="00A40C31"/>
    <w:rsid w:val="00A96124"/>
    <w:rsid w:val="00AA031E"/>
    <w:rsid w:val="00AA4DD2"/>
    <w:rsid w:val="00AB3F58"/>
    <w:rsid w:val="00AC32A0"/>
    <w:rsid w:val="00AE2A05"/>
    <w:rsid w:val="00B061B1"/>
    <w:rsid w:val="00B139B7"/>
    <w:rsid w:val="00B45362"/>
    <w:rsid w:val="00B528B5"/>
    <w:rsid w:val="00B64336"/>
    <w:rsid w:val="00B85D45"/>
    <w:rsid w:val="00BA4289"/>
    <w:rsid w:val="00BB1734"/>
    <w:rsid w:val="00BD4221"/>
    <w:rsid w:val="00BE435F"/>
    <w:rsid w:val="00BF31C7"/>
    <w:rsid w:val="00C00250"/>
    <w:rsid w:val="00C2280A"/>
    <w:rsid w:val="00C62EF6"/>
    <w:rsid w:val="00C731F0"/>
    <w:rsid w:val="00C77FAF"/>
    <w:rsid w:val="00C93BBC"/>
    <w:rsid w:val="00CB0B0F"/>
    <w:rsid w:val="00CC0070"/>
    <w:rsid w:val="00CC2815"/>
    <w:rsid w:val="00CD1B31"/>
    <w:rsid w:val="00CE716D"/>
    <w:rsid w:val="00D03176"/>
    <w:rsid w:val="00D03B37"/>
    <w:rsid w:val="00D1268B"/>
    <w:rsid w:val="00D23777"/>
    <w:rsid w:val="00D241C8"/>
    <w:rsid w:val="00D72442"/>
    <w:rsid w:val="00DC1310"/>
    <w:rsid w:val="00DD3AED"/>
    <w:rsid w:val="00DF0461"/>
    <w:rsid w:val="00DF3A04"/>
    <w:rsid w:val="00E40995"/>
    <w:rsid w:val="00E8669A"/>
    <w:rsid w:val="00EA1629"/>
    <w:rsid w:val="00EC0CE1"/>
    <w:rsid w:val="00ED7F90"/>
    <w:rsid w:val="00EF47F2"/>
    <w:rsid w:val="00EF67F7"/>
    <w:rsid w:val="00F000A5"/>
    <w:rsid w:val="00F17CE6"/>
    <w:rsid w:val="00F8335F"/>
    <w:rsid w:val="00F91D77"/>
    <w:rsid w:val="00FC0BFD"/>
    <w:rsid w:val="00FD6951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3B01"/>
  <w15:chartTrackingRefBased/>
  <w15:docId w15:val="{85B2E019-F647-426F-A169-625005D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43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E43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3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3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3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C1F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5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0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0A5"/>
    <w:rPr>
      <w:b/>
      <w:bCs/>
      <w:sz w:val="20"/>
      <w:szCs w:val="20"/>
    </w:rPr>
  </w:style>
  <w:style w:type="paragraph" w:customStyle="1" w:styleId="paragraph">
    <w:name w:val="paragraph"/>
    <w:basedOn w:val="Normal"/>
    <w:rsid w:val="005D11B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D11B6"/>
  </w:style>
  <w:style w:type="character" w:customStyle="1" w:styleId="eop">
    <w:name w:val="eop"/>
    <w:basedOn w:val="DefaultParagraphFont"/>
    <w:rsid w:val="005D11B6"/>
  </w:style>
  <w:style w:type="paragraph" w:customStyle="1" w:styleId="TableParagraph">
    <w:name w:val="Table Paragraph"/>
    <w:basedOn w:val="Normal"/>
    <w:uiPriority w:val="1"/>
    <w:qFormat/>
    <w:rsid w:val="0055723B"/>
    <w:pPr>
      <w:widowControl w:val="0"/>
      <w:autoSpaceDE w:val="0"/>
      <w:autoSpaceDN w:val="0"/>
      <w:spacing w:before="120" w:after="0" w:line="240" w:lineRule="auto"/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3D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BA3"/>
  </w:style>
  <w:style w:type="paragraph" w:styleId="Footer">
    <w:name w:val="footer"/>
    <w:basedOn w:val="Normal"/>
    <w:link w:val="FooterChar"/>
    <w:uiPriority w:val="99"/>
    <w:unhideWhenUsed/>
    <w:rsid w:val="003D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BA3"/>
  </w:style>
  <w:style w:type="paragraph" w:styleId="Revision">
    <w:name w:val="Revision"/>
    <w:hidden/>
    <w:uiPriority w:val="99"/>
    <w:semiHidden/>
    <w:rsid w:val="0033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212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294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80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5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1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1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3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59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838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EDEBE9"/>
                            <w:bottom w:val="none" w:sz="0" w:space="0" w:color="EDEBE9"/>
                            <w:right w:val="none" w:sz="0" w:space="0" w:color="EDEBE9"/>
                          </w:divBdr>
                          <w:divsChild>
                            <w:div w:id="17886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services/environment/weather/climatechange/climate-plan/climate-plan-overview.html" TargetMode="External"/><Relationship Id="rId13" Type="http://schemas.openxmlformats.org/officeDocument/2006/relationships/hyperlink" Target="https://www.canada.ca/en/services/environment/conservation/assessments/strategic-assessments/climate-chang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services/environment/weather/climatechange/climate-plan/climate-plan-overview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pps.cer-rec.gc.ca/REGDOCS/File/Download/4247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egicassessmentclimatechange.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cer-rec.gc.ca/REGDOCS/Item/View/4194330" TargetMode="External"/><Relationship Id="rId10" Type="http://schemas.openxmlformats.org/officeDocument/2006/relationships/hyperlink" Target="https://www.canada.ca/en/services/environment/weather/climatechange/climate-plan/national-adaptation-strateg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services/environment/weather/climatechange/climate-plan/climate-plan-overview/emissions-reduction-2030.html" TargetMode="External"/><Relationship Id="rId14" Type="http://schemas.openxmlformats.org/officeDocument/2006/relationships/hyperlink" Target="https://www.cer-rec.gc.ca/en/applications-hearings/submit-applications-documents/filing-manuals/filing-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9814-0AC2-4972-AEEB-5FF0AE34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Energy Regulator</Company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Mulukutla</dc:creator>
  <cp:keywords/>
  <dc:description/>
  <cp:lastModifiedBy>Usha Mulukutla</cp:lastModifiedBy>
  <cp:revision>2</cp:revision>
  <dcterms:created xsi:type="dcterms:W3CDTF">2023-04-27T13:57:00Z</dcterms:created>
  <dcterms:modified xsi:type="dcterms:W3CDTF">2023-04-27T13:57:00Z</dcterms:modified>
</cp:coreProperties>
</file>